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82C" w:rsidRPr="006119BB" w:rsidRDefault="0016682C" w:rsidP="006119BB">
      <w:pPr>
        <w:pStyle w:val="a8"/>
        <w:spacing w:before="0" w:beforeAutospacing="0" w:after="0" w:afterAutospacing="0"/>
        <w:rPr>
          <w:rFonts w:ascii="黑体" w:eastAsia="黑体" w:hAnsi="黑体" w:cs="华文中宋"/>
          <w:sz w:val="32"/>
          <w:szCs w:val="32"/>
        </w:rPr>
      </w:pPr>
      <w:bookmarkStart w:id="0" w:name="_GoBack"/>
      <w:bookmarkEnd w:id="0"/>
      <w:r w:rsidRPr="006119BB">
        <w:rPr>
          <w:rFonts w:ascii="黑体" w:eastAsia="黑体" w:hAnsi="黑体" w:cs="华文中宋" w:hint="eastAsia"/>
          <w:sz w:val="32"/>
          <w:szCs w:val="32"/>
        </w:rPr>
        <w:t>附件</w:t>
      </w:r>
    </w:p>
    <w:p w:rsidR="00373120" w:rsidRDefault="000F0D44" w:rsidP="006119BB">
      <w:pPr>
        <w:pStyle w:val="a8"/>
        <w:spacing w:beforeLines="100" w:before="312" w:beforeAutospacing="0" w:afterLines="100" w:after="312" w:afterAutospacing="0"/>
        <w:jc w:val="center"/>
        <w:rPr>
          <w:rFonts w:ascii="华文中宋" w:eastAsia="华文中宋" w:hAnsi="华文中宋" w:cs="华文中宋"/>
          <w:b/>
          <w:sz w:val="44"/>
          <w:szCs w:val="44"/>
        </w:rPr>
      </w:pPr>
      <w:r w:rsidRPr="00007385">
        <w:rPr>
          <w:rFonts w:ascii="华文中宋" w:eastAsia="华文中宋" w:hAnsi="华文中宋" w:cs="华文中宋" w:hint="eastAsia"/>
          <w:b/>
          <w:sz w:val="44"/>
          <w:szCs w:val="44"/>
        </w:rPr>
        <w:t>专利资产评估指导意见</w:t>
      </w:r>
    </w:p>
    <w:p w:rsidR="009A5D9A" w:rsidRPr="0038330F" w:rsidRDefault="00373120" w:rsidP="006119BB">
      <w:pPr>
        <w:pStyle w:val="a8"/>
        <w:spacing w:beforeLines="50" w:before="156" w:beforeAutospacing="0" w:afterLines="50" w:after="156" w:afterAutospacing="0" w:line="360" w:lineRule="auto"/>
        <w:jc w:val="center"/>
        <w:rPr>
          <w:rFonts w:ascii="黑体" w:eastAsia="黑体" w:hAnsi="黑体" w:cs="仿宋_GB2312"/>
          <w:sz w:val="32"/>
          <w:szCs w:val="32"/>
        </w:rPr>
      </w:pPr>
      <w:r w:rsidRPr="0038330F">
        <w:rPr>
          <w:rFonts w:ascii="黑体" w:eastAsia="黑体" w:hAnsi="黑体" w:cs="仿宋_GB2312" w:hint="eastAsia"/>
          <w:sz w:val="32"/>
          <w:szCs w:val="32"/>
        </w:rPr>
        <w:t>第一章</w:t>
      </w:r>
      <w:r w:rsidRPr="0038330F">
        <w:rPr>
          <w:rFonts w:ascii="黑体" w:eastAsia="黑体" w:hAnsi="黑体" w:cs="仿宋_GB2312"/>
          <w:sz w:val="32"/>
          <w:szCs w:val="32"/>
        </w:rPr>
        <w:tab/>
      </w:r>
      <w:r w:rsidRPr="0038330F">
        <w:rPr>
          <w:rFonts w:ascii="黑体" w:eastAsia="黑体" w:hAnsi="黑体" w:cs="仿宋_GB2312" w:hint="eastAsia"/>
          <w:sz w:val="32"/>
          <w:szCs w:val="32"/>
        </w:rPr>
        <w:t>总则</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第一条</w:t>
      </w:r>
      <w:r w:rsidRPr="00007385">
        <w:rPr>
          <w:rFonts w:ascii="仿宋_GB2312" w:eastAsia="仿宋_GB2312" w:hAnsi="仿宋_GB2312" w:cs="仿宋_GB2312"/>
          <w:sz w:val="32"/>
          <w:szCs w:val="32"/>
        </w:rPr>
        <w:t xml:space="preserve">  为规范</w:t>
      </w:r>
      <w:r w:rsidRPr="00007385">
        <w:rPr>
          <w:rFonts w:ascii="仿宋_GB2312" w:eastAsia="仿宋_GB2312" w:hAnsi="仿宋_GB2312" w:cs="仿宋_GB2312" w:hint="eastAsia"/>
          <w:sz w:val="32"/>
          <w:szCs w:val="32"/>
        </w:rPr>
        <w:t>专利资产评估</w:t>
      </w:r>
      <w:r w:rsidR="00B55D60" w:rsidRPr="00007385">
        <w:rPr>
          <w:rFonts w:ascii="仿宋_GB2312" w:eastAsia="仿宋_GB2312" w:hAnsi="仿宋_GB2312" w:cs="仿宋_GB2312" w:hint="eastAsia"/>
          <w:sz w:val="32"/>
          <w:szCs w:val="32"/>
        </w:rPr>
        <w:t>行为</w:t>
      </w:r>
      <w:r w:rsidRPr="00007385">
        <w:rPr>
          <w:rFonts w:ascii="仿宋_GB2312" w:eastAsia="仿宋_GB2312" w:hAnsi="仿宋_GB2312" w:cs="仿宋_GB2312" w:hint="eastAsia"/>
          <w:sz w:val="32"/>
          <w:szCs w:val="32"/>
        </w:rPr>
        <w:t>，保护资产评估当事人的合法权益和公共利益，根据《资产评估执业准则——无形资产》制定本</w:t>
      </w:r>
      <w:r w:rsidR="008E1A1F">
        <w:rPr>
          <w:rFonts w:ascii="仿宋_GB2312" w:eastAsia="仿宋_GB2312" w:hAnsi="仿宋_GB2312" w:cs="仿宋_GB2312" w:hint="eastAsia"/>
          <w:sz w:val="32"/>
          <w:szCs w:val="32"/>
        </w:rPr>
        <w:t>指导意见</w:t>
      </w:r>
      <w:r w:rsidRPr="00007385">
        <w:rPr>
          <w:rFonts w:ascii="仿宋_GB2312" w:eastAsia="仿宋_GB2312" w:hAnsi="仿宋_GB2312" w:cs="仿宋_GB2312" w:hint="eastAsia"/>
          <w:sz w:val="32"/>
          <w:szCs w:val="32"/>
        </w:rPr>
        <w:t>。</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第二条</w:t>
      </w:r>
      <w:r w:rsidRPr="00007385">
        <w:rPr>
          <w:rFonts w:ascii="仿宋_GB2312" w:eastAsia="仿宋_GB2312" w:hAnsi="仿宋_GB2312" w:cs="仿宋_GB2312"/>
          <w:sz w:val="32"/>
          <w:szCs w:val="32"/>
        </w:rPr>
        <w:t xml:space="preserve">  本指导意见所称专利资产，是指专利权人拥有或者控制的，能持续发挥作用并且能带来经济利益的专利权益。</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第三条</w:t>
      </w:r>
      <w:r w:rsidRPr="00007385">
        <w:rPr>
          <w:rFonts w:ascii="仿宋_GB2312" w:eastAsia="仿宋_GB2312" w:hAnsi="仿宋_GB2312" w:cs="仿宋_GB2312"/>
          <w:sz w:val="32"/>
          <w:szCs w:val="32"/>
        </w:rPr>
        <w:t xml:space="preserve">  本指导意见所称专利资产评估，是指资产评估机构及其资产评估专业人员遵守法律、行政法规和资产评估准则，根据委托对评估基准日特定目的下的专利资产价值进行评定和估算，并出具资产评估报告的专业服务行为。</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第四条</w:t>
      </w:r>
      <w:r w:rsidRPr="00007385">
        <w:rPr>
          <w:rFonts w:ascii="仿宋_GB2312" w:eastAsia="仿宋_GB2312" w:hAnsi="仿宋_GB2312" w:cs="仿宋_GB2312"/>
          <w:sz w:val="32"/>
          <w:szCs w:val="32"/>
        </w:rPr>
        <w:t xml:space="preserve">  执行专利资产评估业务，应当遵守本指导意见。</w:t>
      </w:r>
    </w:p>
    <w:p w:rsidR="009A5D9A" w:rsidRPr="0038330F" w:rsidRDefault="00373120" w:rsidP="006119BB">
      <w:pPr>
        <w:pStyle w:val="a8"/>
        <w:spacing w:beforeLines="50" w:before="156" w:beforeAutospacing="0" w:afterLines="50" w:after="156" w:afterAutospacing="0" w:line="360" w:lineRule="auto"/>
        <w:jc w:val="center"/>
        <w:rPr>
          <w:rFonts w:ascii="黑体" w:eastAsia="黑体" w:hAnsi="黑体" w:cs="仿宋_GB2312"/>
          <w:sz w:val="32"/>
          <w:szCs w:val="32"/>
        </w:rPr>
      </w:pPr>
      <w:r w:rsidRPr="0038330F">
        <w:rPr>
          <w:rFonts w:ascii="黑体" w:eastAsia="黑体" w:hAnsi="黑体" w:cs="仿宋_GB2312" w:hint="eastAsia"/>
          <w:sz w:val="32"/>
          <w:szCs w:val="32"/>
        </w:rPr>
        <w:t>第二章</w:t>
      </w:r>
      <w:r w:rsidRPr="0038330F">
        <w:rPr>
          <w:rFonts w:ascii="黑体" w:eastAsia="黑体" w:hAnsi="黑体" w:cs="仿宋_GB2312"/>
          <w:sz w:val="32"/>
          <w:szCs w:val="32"/>
        </w:rPr>
        <w:tab/>
      </w:r>
      <w:r w:rsidRPr="0038330F">
        <w:rPr>
          <w:rFonts w:ascii="黑体" w:eastAsia="黑体" w:hAnsi="黑体" w:cs="仿宋_GB2312" w:hint="eastAsia"/>
          <w:sz w:val="32"/>
          <w:szCs w:val="32"/>
        </w:rPr>
        <w:t>基本</w:t>
      </w:r>
      <w:r w:rsidR="00B76FEA">
        <w:rPr>
          <w:rFonts w:ascii="黑体" w:eastAsia="黑体" w:hAnsi="黑体" w:cs="仿宋_GB2312" w:hint="eastAsia"/>
          <w:sz w:val="32"/>
          <w:szCs w:val="32"/>
        </w:rPr>
        <w:t>遵循</w:t>
      </w:r>
    </w:p>
    <w:p w:rsidR="00373120" w:rsidRDefault="00D9210F" w:rsidP="0038330F">
      <w:pPr>
        <w:spacing w:line="360" w:lineRule="auto"/>
        <w:ind w:firstLineChars="200" w:firstLine="643"/>
        <w:jc w:val="left"/>
        <w:rPr>
          <w:rFonts w:ascii="仿宋_GB2312" w:eastAsia="仿宋_GB2312" w:hAnsi="仿宋"/>
          <w:sz w:val="32"/>
          <w:szCs w:val="32"/>
        </w:rPr>
      </w:pPr>
      <w:r w:rsidRPr="00007385">
        <w:rPr>
          <w:rFonts w:ascii="仿宋_GB2312" w:eastAsia="仿宋_GB2312" w:hAnsi="仿宋_GB2312" w:cs="仿宋_GB2312" w:hint="eastAsia"/>
          <w:b/>
          <w:bCs/>
          <w:sz w:val="32"/>
          <w:szCs w:val="32"/>
        </w:rPr>
        <w:t>第五条</w:t>
      </w:r>
      <w:r w:rsidRPr="00007385">
        <w:rPr>
          <w:rFonts w:ascii="仿宋_GB2312" w:eastAsia="仿宋_GB2312" w:hAnsi="仿宋_GB2312" w:cs="仿宋_GB2312"/>
          <w:b/>
          <w:bCs/>
          <w:sz w:val="32"/>
          <w:szCs w:val="32"/>
        </w:rPr>
        <w:t xml:space="preserve"> </w:t>
      </w:r>
      <w:r w:rsidR="0016682C">
        <w:rPr>
          <w:rFonts w:ascii="仿宋_GB2312" w:eastAsia="仿宋_GB2312" w:hAnsi="仿宋_GB2312" w:cs="仿宋_GB2312" w:hint="eastAsia"/>
          <w:b/>
          <w:bCs/>
          <w:sz w:val="32"/>
          <w:szCs w:val="32"/>
        </w:rPr>
        <w:t xml:space="preserve"> </w:t>
      </w:r>
      <w:r w:rsidRPr="00007385">
        <w:rPr>
          <w:rFonts w:ascii="仿宋_GB2312" w:eastAsia="仿宋_GB2312" w:hAnsi="仿宋" w:hint="eastAsia"/>
          <w:sz w:val="32"/>
          <w:szCs w:val="32"/>
        </w:rPr>
        <w:t>资产评估机构及其资产评估专业人员</w:t>
      </w:r>
      <w:r w:rsidRPr="00007385">
        <w:rPr>
          <w:rFonts w:ascii="仿宋_GB2312" w:eastAsia="仿宋_GB2312" w:hAnsi="仿宋"/>
          <w:sz w:val="32"/>
          <w:szCs w:val="32"/>
        </w:rPr>
        <w:t>开展</w:t>
      </w:r>
      <w:r w:rsidRPr="00007385">
        <w:rPr>
          <w:rFonts w:ascii="仿宋_GB2312" w:eastAsia="仿宋_GB2312" w:hAnsi="仿宋_GB2312" w:cs="仿宋_GB2312" w:hint="eastAsia"/>
          <w:sz w:val="32"/>
          <w:szCs w:val="32"/>
        </w:rPr>
        <w:t>专利权资产评估业务，应当</w:t>
      </w:r>
      <w:r w:rsidRPr="00007385">
        <w:rPr>
          <w:rFonts w:ascii="仿宋_GB2312" w:eastAsia="仿宋_GB2312" w:hAnsi="仿宋"/>
          <w:sz w:val="32"/>
          <w:szCs w:val="32"/>
        </w:rPr>
        <w:t>遵守法律、行政法规</w:t>
      </w:r>
      <w:r w:rsidRPr="00007385">
        <w:rPr>
          <w:rFonts w:ascii="仿宋_GB2312" w:eastAsia="仿宋_GB2312" w:hAnsi="仿宋" w:hint="eastAsia"/>
          <w:sz w:val="32"/>
          <w:szCs w:val="32"/>
        </w:rPr>
        <w:t>的规定</w:t>
      </w:r>
      <w:r w:rsidRPr="00007385">
        <w:rPr>
          <w:rFonts w:ascii="仿宋_GB2312" w:eastAsia="仿宋_GB2312" w:hAnsi="仿宋"/>
          <w:sz w:val="32"/>
          <w:szCs w:val="32"/>
        </w:rPr>
        <w:t>，</w:t>
      </w:r>
      <w:r w:rsidRPr="00007385">
        <w:rPr>
          <w:rFonts w:ascii="仿宋_GB2312" w:eastAsia="仿宋_GB2312" w:hAnsi="仿宋" w:hint="eastAsia"/>
          <w:sz w:val="32"/>
          <w:szCs w:val="32"/>
        </w:rPr>
        <w:t>坚持</w:t>
      </w:r>
      <w:r w:rsidRPr="00007385">
        <w:rPr>
          <w:rFonts w:ascii="仿宋_GB2312" w:eastAsia="仿宋_GB2312" w:hAnsi="仿宋_GB2312" w:cs="仿宋_GB2312" w:hint="eastAsia"/>
          <w:sz w:val="32"/>
          <w:szCs w:val="32"/>
        </w:rPr>
        <w:t>独立、客观、公正的原则，诚实守信，勤勉尽责，谨慎从业，</w:t>
      </w:r>
      <w:r w:rsidRPr="00007385">
        <w:rPr>
          <w:rFonts w:ascii="仿宋_GB2312" w:eastAsia="仿宋_GB2312" w:hAnsi="仿宋" w:hint="eastAsia"/>
          <w:sz w:val="32"/>
          <w:szCs w:val="32"/>
        </w:rPr>
        <w:t>遵守</w:t>
      </w:r>
      <w:r w:rsidRPr="00007385">
        <w:rPr>
          <w:rFonts w:ascii="仿宋_GB2312" w:eastAsia="仿宋_GB2312" w:hAnsi="仿宋"/>
          <w:sz w:val="32"/>
          <w:szCs w:val="32"/>
        </w:rPr>
        <w:t>职业道德</w:t>
      </w:r>
      <w:r w:rsidRPr="00007385">
        <w:rPr>
          <w:rFonts w:ascii="仿宋_GB2312" w:eastAsia="仿宋_GB2312" w:hAnsi="仿宋" w:hint="eastAsia"/>
          <w:sz w:val="32"/>
          <w:szCs w:val="32"/>
        </w:rPr>
        <w:t>规范，自觉</w:t>
      </w:r>
      <w:r w:rsidRPr="00007385">
        <w:rPr>
          <w:rFonts w:ascii="仿宋_GB2312" w:eastAsia="仿宋_GB2312" w:hAnsi="仿宋"/>
          <w:sz w:val="32"/>
          <w:szCs w:val="32"/>
        </w:rPr>
        <w:t>维护职业形象，不得从事损害职业形象的活动。</w:t>
      </w:r>
    </w:p>
    <w:p w:rsidR="00373120" w:rsidRDefault="00D9210F" w:rsidP="0038330F">
      <w:pPr>
        <w:spacing w:line="360" w:lineRule="auto"/>
        <w:ind w:firstLineChars="200" w:firstLine="643"/>
        <w:jc w:val="left"/>
        <w:rPr>
          <w:rFonts w:ascii="Arial" w:hAnsi="Arial" w:cs="Arial"/>
          <w:color w:val="000000"/>
          <w:szCs w:val="21"/>
        </w:rPr>
      </w:pPr>
      <w:r w:rsidRPr="00007385">
        <w:rPr>
          <w:rFonts w:ascii="仿宋_GB2312" w:eastAsia="仿宋_GB2312" w:hAnsi="仿宋_GB2312" w:cs="仿宋_GB2312" w:hint="eastAsia"/>
          <w:b/>
          <w:bCs/>
          <w:sz w:val="32"/>
          <w:szCs w:val="32"/>
        </w:rPr>
        <w:t>第六条</w:t>
      </w:r>
      <w:r w:rsidRPr="00007385">
        <w:rPr>
          <w:rFonts w:ascii="仿宋_GB2312" w:eastAsia="仿宋_GB2312" w:hAnsi="仿宋_GB2312" w:cs="仿宋_GB2312"/>
          <w:b/>
          <w:bCs/>
          <w:sz w:val="32"/>
          <w:szCs w:val="32"/>
        </w:rPr>
        <w:t xml:space="preserve"> </w:t>
      </w:r>
      <w:r w:rsidR="004E0D4F">
        <w:rPr>
          <w:rFonts w:ascii="仿宋_GB2312" w:eastAsia="仿宋_GB2312" w:hAnsi="仿宋_GB2312" w:cs="仿宋_GB2312"/>
          <w:b/>
          <w:bCs/>
          <w:sz w:val="32"/>
          <w:szCs w:val="32"/>
        </w:rPr>
        <w:t xml:space="preserve"> </w:t>
      </w:r>
      <w:r w:rsidRPr="00007385">
        <w:rPr>
          <w:rFonts w:ascii="仿宋_GB2312" w:eastAsia="仿宋_GB2312" w:hAnsi="仿宋" w:hint="eastAsia"/>
          <w:sz w:val="32"/>
          <w:szCs w:val="32"/>
        </w:rPr>
        <w:t>资产评估机构及其资产评估专业人员开展专</w:t>
      </w:r>
      <w:r w:rsidRPr="00007385">
        <w:rPr>
          <w:rFonts w:ascii="仿宋_GB2312" w:eastAsia="仿宋_GB2312" w:hAnsi="仿宋" w:hint="eastAsia"/>
          <w:sz w:val="32"/>
          <w:szCs w:val="32"/>
        </w:rPr>
        <w:lastRenderedPageBreak/>
        <w:t>利资产评估业务，应当</w:t>
      </w:r>
      <w:r w:rsidRPr="00007385">
        <w:rPr>
          <w:rFonts w:ascii="仿宋_GB2312" w:eastAsia="仿宋_GB2312" w:hAnsi="仿宋_GB2312" w:cs="仿宋_GB2312" w:hint="eastAsia"/>
          <w:sz w:val="32"/>
          <w:szCs w:val="32"/>
        </w:rPr>
        <w:t>独立进行分析和估算并形成专业意见</w:t>
      </w:r>
      <w:r w:rsidRPr="00007385">
        <w:rPr>
          <w:rFonts w:ascii="仿宋_GB2312" w:eastAsia="仿宋_GB2312" w:hAnsi="仿宋" w:hint="eastAsia"/>
          <w:sz w:val="32"/>
          <w:szCs w:val="32"/>
        </w:rPr>
        <w:t>，拒绝委托人或者其他相关当事人的干预，</w:t>
      </w:r>
      <w:r w:rsidRPr="00007385">
        <w:rPr>
          <w:rFonts w:ascii="仿宋_GB2312" w:eastAsia="仿宋_GB2312" w:hAnsi="仿宋"/>
          <w:color w:val="000000"/>
          <w:sz w:val="32"/>
          <w:szCs w:val="32"/>
        </w:rPr>
        <w:t>不得直接以预先设定的价值作为评估结论。</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w:t>
      </w:r>
      <w:r w:rsidR="00D9210F" w:rsidRPr="00007385">
        <w:rPr>
          <w:rFonts w:ascii="仿宋_GB2312" w:eastAsia="仿宋_GB2312" w:hAnsi="仿宋_GB2312" w:cs="仿宋_GB2312" w:hint="eastAsia"/>
          <w:b/>
          <w:bCs/>
          <w:sz w:val="32"/>
          <w:szCs w:val="32"/>
        </w:rPr>
        <w:t>七</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w:t>
      </w:r>
      <w:r w:rsidR="00C13CBE">
        <w:rPr>
          <w:rFonts w:ascii="仿宋_GB2312" w:eastAsia="仿宋_GB2312" w:hAnsi="仿宋_GB2312" w:cs="仿宋_GB2312" w:hint="eastAsia"/>
          <w:sz w:val="32"/>
          <w:szCs w:val="32"/>
        </w:rPr>
        <w:t>执行</w:t>
      </w:r>
      <w:r w:rsidR="004E0D4F" w:rsidRPr="004E0D4F">
        <w:rPr>
          <w:rFonts w:ascii="仿宋_GB2312" w:eastAsia="仿宋_GB2312" w:hAnsi="仿宋_GB2312" w:cs="仿宋_GB2312" w:hint="eastAsia"/>
          <w:sz w:val="32"/>
          <w:szCs w:val="32"/>
        </w:rPr>
        <w:t>专利资产评估业务</w:t>
      </w:r>
      <w:r w:rsidR="004E0D4F">
        <w:rPr>
          <w:rFonts w:ascii="仿宋_GB2312" w:eastAsia="仿宋_GB2312" w:hAnsi="仿宋_GB2312" w:cs="仿宋_GB2312" w:hint="eastAsia"/>
          <w:sz w:val="32"/>
          <w:szCs w:val="32"/>
        </w:rPr>
        <w:t>，</w:t>
      </w:r>
      <w:r w:rsidRPr="00007385">
        <w:rPr>
          <w:rFonts w:ascii="仿宋_GB2312" w:eastAsia="仿宋_GB2312" w:hAnsi="仿宋_GB2312" w:cs="仿宋_GB2312" w:hint="eastAsia"/>
          <w:sz w:val="32"/>
          <w:szCs w:val="32"/>
        </w:rPr>
        <w:t>应当具备专利资产评估</w:t>
      </w:r>
      <w:r w:rsidR="004E0D4F">
        <w:rPr>
          <w:rFonts w:ascii="仿宋_GB2312" w:eastAsia="仿宋_GB2312" w:hAnsi="仿宋_GB2312" w:cs="仿宋_GB2312" w:hint="eastAsia"/>
          <w:sz w:val="32"/>
          <w:szCs w:val="32"/>
        </w:rPr>
        <w:t>的</w:t>
      </w:r>
      <w:r w:rsidRPr="00007385">
        <w:rPr>
          <w:rFonts w:ascii="仿宋_GB2312" w:eastAsia="仿宋_GB2312" w:hAnsi="仿宋_GB2312" w:cs="仿宋_GB2312" w:hint="eastAsia"/>
          <w:sz w:val="32"/>
          <w:szCs w:val="32"/>
        </w:rPr>
        <w:t>专业知识</w:t>
      </w:r>
      <w:r w:rsidR="00B76FEA">
        <w:rPr>
          <w:rFonts w:ascii="仿宋_GB2312" w:eastAsia="仿宋_GB2312" w:hAnsi="仿宋_GB2312" w:cs="仿宋_GB2312" w:hint="eastAsia"/>
          <w:sz w:val="32"/>
          <w:szCs w:val="32"/>
        </w:rPr>
        <w:t>和</w:t>
      </w:r>
      <w:r w:rsidR="00285541" w:rsidRPr="00007385">
        <w:rPr>
          <w:rFonts w:ascii="仿宋_GB2312" w:eastAsia="仿宋_GB2312" w:hAnsi="仿宋_GB2312" w:cs="仿宋_GB2312" w:hint="eastAsia"/>
          <w:sz w:val="32"/>
          <w:szCs w:val="32"/>
        </w:rPr>
        <w:t>实践</w:t>
      </w:r>
      <w:r w:rsidRPr="00007385">
        <w:rPr>
          <w:rFonts w:ascii="仿宋_GB2312" w:eastAsia="仿宋_GB2312" w:hAnsi="仿宋_GB2312" w:cs="仿宋_GB2312" w:hint="eastAsia"/>
          <w:sz w:val="32"/>
          <w:szCs w:val="32"/>
        </w:rPr>
        <w:t>经验，</w:t>
      </w:r>
      <w:r w:rsidR="00D9210F" w:rsidRPr="00007385">
        <w:rPr>
          <w:rFonts w:ascii="仿宋_GB2312" w:eastAsia="仿宋_GB2312" w:hAnsi="仿宋"/>
          <w:sz w:val="32"/>
          <w:szCs w:val="32"/>
        </w:rPr>
        <w:t>能够胜任所执行的</w:t>
      </w:r>
      <w:r w:rsidR="00B76FEA">
        <w:rPr>
          <w:rFonts w:ascii="仿宋_GB2312" w:eastAsia="仿宋_GB2312" w:hAnsi="仿宋" w:hint="eastAsia"/>
          <w:sz w:val="32"/>
          <w:szCs w:val="32"/>
        </w:rPr>
        <w:t>专利</w:t>
      </w:r>
      <w:r w:rsidR="00D9210F" w:rsidRPr="00007385">
        <w:rPr>
          <w:rFonts w:ascii="仿宋_GB2312" w:eastAsia="仿宋_GB2312" w:hAnsi="仿宋" w:hint="eastAsia"/>
          <w:sz w:val="32"/>
          <w:szCs w:val="32"/>
        </w:rPr>
        <w:t>资产</w:t>
      </w:r>
      <w:r w:rsidR="00D9210F" w:rsidRPr="00007385">
        <w:rPr>
          <w:rFonts w:ascii="仿宋_GB2312" w:eastAsia="仿宋_GB2312" w:hAnsi="仿宋"/>
          <w:sz w:val="32"/>
          <w:szCs w:val="32"/>
        </w:rPr>
        <w:t>评估业务</w:t>
      </w:r>
      <w:r w:rsidRPr="00007385">
        <w:rPr>
          <w:rFonts w:ascii="仿宋_GB2312" w:eastAsia="仿宋_GB2312" w:hAnsi="仿宋_GB2312" w:cs="仿宋_GB2312" w:hint="eastAsia"/>
          <w:sz w:val="32"/>
          <w:szCs w:val="32"/>
        </w:rPr>
        <w:t>。</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执行某项特定业务缺乏特定的专业知识和经验时，应当采取弥补措施，包括利用专家</w:t>
      </w:r>
      <w:r w:rsidR="004B41AA">
        <w:rPr>
          <w:rFonts w:ascii="仿宋_GB2312" w:eastAsia="仿宋_GB2312" w:hAnsi="仿宋_GB2312" w:cs="仿宋_GB2312" w:hint="eastAsia"/>
          <w:sz w:val="32"/>
          <w:szCs w:val="32"/>
        </w:rPr>
        <w:t>工作</w:t>
      </w:r>
      <w:r w:rsidR="00A20CEB">
        <w:rPr>
          <w:rFonts w:ascii="仿宋_GB2312" w:eastAsia="仿宋_GB2312" w:hAnsi="仿宋_GB2312" w:cs="仿宋_GB2312" w:hint="eastAsia"/>
          <w:sz w:val="32"/>
          <w:szCs w:val="32"/>
        </w:rPr>
        <w:t>及相关报告</w:t>
      </w:r>
      <w:r w:rsidR="00D9210F" w:rsidRPr="00007385">
        <w:rPr>
          <w:rFonts w:ascii="仿宋_GB2312" w:eastAsia="仿宋_GB2312" w:hAnsi="仿宋_GB2312" w:cs="仿宋_GB2312" w:hint="eastAsia"/>
          <w:sz w:val="32"/>
          <w:szCs w:val="32"/>
        </w:rPr>
        <w:t>等</w:t>
      </w:r>
      <w:r w:rsidRPr="00007385">
        <w:rPr>
          <w:rFonts w:ascii="仿宋_GB2312" w:eastAsia="仿宋_GB2312" w:hAnsi="仿宋_GB2312" w:cs="仿宋_GB2312" w:hint="eastAsia"/>
          <w:sz w:val="32"/>
          <w:szCs w:val="32"/>
        </w:rPr>
        <w:t>。</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w:t>
      </w:r>
      <w:r w:rsidR="002264BF">
        <w:rPr>
          <w:rFonts w:ascii="仿宋_GB2312" w:eastAsia="仿宋_GB2312" w:hAnsi="仿宋_GB2312" w:cs="仿宋_GB2312" w:hint="eastAsia"/>
          <w:b/>
          <w:bCs/>
          <w:sz w:val="32"/>
          <w:szCs w:val="32"/>
        </w:rPr>
        <w:t>八</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执行企业价值评估中的专利资产评估业务，应当了解在对持续经营前提下的企业价值进行评估时，专利资产作为企业资产的组成部分的价值</w:t>
      </w:r>
      <w:r w:rsidR="00FC0543">
        <w:rPr>
          <w:rFonts w:ascii="仿宋_GB2312" w:eastAsia="仿宋_GB2312" w:hAnsi="仿宋_GB2312" w:cs="仿宋_GB2312"/>
          <w:sz w:val="32"/>
          <w:szCs w:val="32"/>
        </w:rPr>
        <w:t>可能</w:t>
      </w:r>
      <w:r w:rsidRPr="00007385">
        <w:rPr>
          <w:rFonts w:ascii="仿宋_GB2312" w:eastAsia="仿宋_GB2312" w:hAnsi="仿宋_GB2312" w:cs="仿宋_GB2312"/>
          <w:sz w:val="32"/>
          <w:szCs w:val="32"/>
        </w:rPr>
        <w:t>有别于作为单项资产的价值，其价值取决于它对企业价值的贡献程度。</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w:t>
      </w:r>
      <w:r w:rsidR="002264BF">
        <w:rPr>
          <w:rFonts w:ascii="仿宋_GB2312" w:eastAsia="仿宋_GB2312" w:hAnsi="仿宋_GB2312" w:cs="仿宋_GB2312" w:hint="eastAsia"/>
          <w:b/>
          <w:bCs/>
          <w:sz w:val="32"/>
          <w:szCs w:val="32"/>
        </w:rPr>
        <w:t>九</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执行专利资产评估业务，应当在</w:t>
      </w:r>
      <w:r w:rsidRPr="00007385">
        <w:rPr>
          <w:rFonts w:ascii="仿宋_GB2312" w:eastAsia="仿宋_GB2312" w:hAnsi="仿宋_GB2312" w:cs="仿宋_GB2312" w:hint="eastAsia"/>
          <w:sz w:val="32"/>
          <w:szCs w:val="32"/>
        </w:rPr>
        <w:t>考虑评估目的、市场条件、评估对象自身条件等因素的基础上，选择价值类型。</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以质押为目的可以选择市场价值或者市场价值以外的价值类型，以交易为目的</w:t>
      </w:r>
      <w:r w:rsidR="00E935D3">
        <w:rPr>
          <w:rFonts w:ascii="仿宋_GB2312" w:eastAsia="仿宋_GB2312" w:hAnsi="仿宋_GB2312" w:cs="仿宋_GB2312"/>
          <w:sz w:val="32"/>
          <w:szCs w:val="32"/>
        </w:rPr>
        <w:t>通常</w:t>
      </w:r>
      <w:r w:rsidRPr="00007385">
        <w:rPr>
          <w:rFonts w:ascii="仿宋_GB2312" w:eastAsia="仿宋_GB2312" w:hAnsi="仿宋_GB2312" w:cs="仿宋_GB2312" w:hint="eastAsia"/>
          <w:sz w:val="32"/>
          <w:szCs w:val="32"/>
        </w:rPr>
        <w:t>选择市场价值或者投资价值，以财务报告为目的</w:t>
      </w:r>
      <w:r w:rsidR="00DF0EA6">
        <w:rPr>
          <w:rFonts w:ascii="仿宋_GB2312" w:eastAsia="仿宋_GB2312" w:hAnsi="仿宋_GB2312" w:cs="仿宋_GB2312" w:hint="eastAsia"/>
          <w:sz w:val="32"/>
          <w:szCs w:val="32"/>
        </w:rPr>
        <w:t>通常</w:t>
      </w:r>
      <w:r w:rsidRPr="00007385">
        <w:rPr>
          <w:rFonts w:ascii="仿宋_GB2312" w:eastAsia="仿宋_GB2312" w:hAnsi="仿宋_GB2312" w:cs="仿宋_GB2312" w:hint="eastAsia"/>
          <w:sz w:val="32"/>
          <w:szCs w:val="32"/>
        </w:rPr>
        <w:t>根据会计准则相关要求选择相应的价值类型。</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w:t>
      </w:r>
      <w:r w:rsidR="00D9210F" w:rsidRPr="00007385">
        <w:rPr>
          <w:rFonts w:ascii="仿宋_GB2312" w:eastAsia="仿宋_GB2312" w:hAnsi="仿宋_GB2312" w:cs="仿宋_GB2312" w:hint="eastAsia"/>
          <w:b/>
          <w:bCs/>
          <w:sz w:val="32"/>
          <w:szCs w:val="32"/>
        </w:rPr>
        <w:t>十</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执行专利资产评估业务，应当</w:t>
      </w:r>
      <w:r w:rsidRPr="00007385">
        <w:rPr>
          <w:rFonts w:ascii="仿宋_GB2312" w:eastAsia="仿宋_GB2312" w:hAnsi="仿宋_GB2312" w:cs="仿宋_GB2312" w:hint="eastAsia"/>
          <w:sz w:val="32"/>
          <w:szCs w:val="32"/>
        </w:rPr>
        <w:t>确定评估假设和限</w:t>
      </w:r>
      <w:r w:rsidR="002264BF">
        <w:rPr>
          <w:rFonts w:ascii="仿宋_GB2312" w:eastAsia="仿宋_GB2312" w:hAnsi="仿宋_GB2312" w:cs="仿宋_GB2312"/>
          <w:sz w:val="32"/>
          <w:szCs w:val="32"/>
        </w:rPr>
        <w:t>制</w:t>
      </w:r>
      <w:r w:rsidRPr="00007385">
        <w:rPr>
          <w:rFonts w:ascii="仿宋_GB2312" w:eastAsia="仿宋_GB2312" w:hAnsi="仿宋_GB2312" w:cs="仿宋_GB2312" w:hint="eastAsia"/>
          <w:sz w:val="32"/>
          <w:szCs w:val="32"/>
        </w:rPr>
        <w:t>条件。</w:t>
      </w:r>
    </w:p>
    <w:p w:rsidR="009A5D9A" w:rsidRPr="0038330F" w:rsidRDefault="00373120" w:rsidP="006119BB">
      <w:pPr>
        <w:pStyle w:val="a8"/>
        <w:spacing w:beforeLines="50" w:before="156" w:beforeAutospacing="0" w:afterLines="50" w:after="156" w:afterAutospacing="0" w:line="360" w:lineRule="auto"/>
        <w:jc w:val="center"/>
        <w:rPr>
          <w:rFonts w:ascii="黑体" w:eastAsia="黑体" w:hAnsi="黑体" w:cs="仿宋_GB2312"/>
          <w:sz w:val="32"/>
          <w:szCs w:val="32"/>
        </w:rPr>
      </w:pPr>
      <w:r w:rsidRPr="0038330F">
        <w:rPr>
          <w:rFonts w:ascii="黑体" w:eastAsia="黑体" w:hAnsi="黑体" w:cs="仿宋_GB2312" w:hint="eastAsia"/>
          <w:sz w:val="32"/>
          <w:szCs w:val="32"/>
        </w:rPr>
        <w:t>第三章</w:t>
      </w:r>
      <w:r w:rsidRPr="0038330F">
        <w:rPr>
          <w:rFonts w:ascii="黑体" w:eastAsia="黑体" w:hAnsi="黑体" w:cs="仿宋_GB2312"/>
          <w:sz w:val="32"/>
          <w:szCs w:val="32"/>
        </w:rPr>
        <w:tab/>
      </w:r>
      <w:r w:rsidRPr="0038330F">
        <w:rPr>
          <w:rFonts w:ascii="黑体" w:eastAsia="黑体" w:hAnsi="黑体" w:cs="仿宋_GB2312" w:hint="eastAsia"/>
          <w:sz w:val="32"/>
          <w:szCs w:val="32"/>
        </w:rPr>
        <w:t>资产评估对象</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lastRenderedPageBreak/>
        <w:t>第十</w:t>
      </w:r>
      <w:r w:rsidR="0054692D">
        <w:rPr>
          <w:rFonts w:ascii="仿宋_GB2312" w:eastAsia="仿宋_GB2312" w:hAnsi="仿宋_GB2312" w:cs="仿宋_GB2312"/>
          <w:b/>
          <w:bCs/>
          <w:sz w:val="32"/>
          <w:szCs w:val="32"/>
        </w:rPr>
        <w:t>一</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专利资产评估业务的评估对象是指专利资产权益，包括专利所有权和专利使用权。专利使用权是指专利实施许可权,具体包括专利权独占许可、独家许可、普通许可和其他许可形式。</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执行专利资产评估业务，应当明确专利资产的权利属性。评估对象为专利所有权的，应当关注专利权是否已经许可他人使用及使用权的具体形式，并关注其对专利所有权价值的影响。评估对象为专利使用权的，应当明确专利使用权的许可形式、许可内容及许可期限。</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二</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执行专利资产评估业务，应当要求委托人明确专利资产的基本状况。专利资产的基本状况通常包括：</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（一）专利名称；</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（二）专利类别；</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（三）专利申请的国别或者地区；</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（四）专利申请号或者专利号；</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（五）专利的法律状态；</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（六）专利申请日；</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（七）专利授权日；</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（八）专利权利要求书所记载的主权利要求；</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（九）专利使用权利。</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三</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执行专利资产评估业务，应当关注专利的法律状态。专利的法律状态通常包括专利申请人或者专利权人及其变更情况，专利所处的专利审批阶段、年费缴纳情况、</w:t>
      </w:r>
      <w:r w:rsidR="000F0D44" w:rsidRPr="00007385">
        <w:rPr>
          <w:rFonts w:ascii="仿宋_GB2312" w:eastAsia="仿宋_GB2312" w:hAnsi="仿宋_GB2312" w:cs="仿宋_GB2312" w:hint="eastAsia"/>
          <w:sz w:val="32"/>
          <w:szCs w:val="32"/>
        </w:rPr>
        <w:lastRenderedPageBreak/>
        <w:t>专利权的终止、专利权的恢复、专利权的质押，以及是否涉及法律诉讼或者处于复审、宣告无效状态。</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四</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执行专利资产评估业务，应当关注专利资产的技术状况、实施状况及获利状况。</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五</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执行专利资产评估业务，应当在要求委托人根据评估对象的具体情况和评估目的对专利资产进行合理的分离或者合并的基础上，恰当进行单项专利资产或者专利资产组合的评估。</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六</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质押、诉讼目的的专利资产评估业务，应当要求委托人提交由国家知识产权局出具的专利登记簿副本。评估对象为实用新型、外观设计专利的，应当要求委托人提供专利检索报告，当实用新型、外观设计专利数量较多时，应当</w:t>
      </w:r>
      <w:r w:rsidR="000F0D44" w:rsidRPr="00007385">
        <w:rPr>
          <w:rFonts w:ascii="仿宋_GB2312" w:eastAsia="仿宋_GB2312" w:hAnsi="仿宋_GB2312" w:cs="仿宋_GB2312" w:hint="eastAsia"/>
          <w:sz w:val="32"/>
          <w:szCs w:val="32"/>
        </w:rPr>
        <w:t>选取部分专利由委托人提供检索报告。</w:t>
      </w:r>
      <w:r w:rsidR="000F0D44" w:rsidRPr="00007385">
        <w:rPr>
          <w:rFonts w:ascii="仿宋_GB2312" w:eastAsia="仿宋_GB2312" w:hAnsi="仿宋_GB2312" w:cs="仿宋_GB2312"/>
          <w:sz w:val="32"/>
          <w:szCs w:val="32"/>
        </w:rPr>
        <w:t> </w:t>
      </w:r>
    </w:p>
    <w:p w:rsidR="009A5D9A" w:rsidRPr="0038330F" w:rsidRDefault="00373120" w:rsidP="006119BB">
      <w:pPr>
        <w:pStyle w:val="a8"/>
        <w:spacing w:beforeLines="50" w:before="156" w:beforeAutospacing="0" w:afterLines="50" w:after="156" w:afterAutospacing="0" w:line="360" w:lineRule="auto"/>
        <w:jc w:val="center"/>
        <w:rPr>
          <w:rFonts w:ascii="黑体" w:eastAsia="黑体" w:hAnsi="黑体" w:cs="仿宋_GB2312"/>
          <w:sz w:val="32"/>
          <w:szCs w:val="32"/>
        </w:rPr>
      </w:pPr>
      <w:r w:rsidRPr="0038330F">
        <w:rPr>
          <w:rFonts w:ascii="黑体" w:eastAsia="黑体" w:hAnsi="黑体" w:cs="仿宋_GB2312" w:hint="eastAsia"/>
          <w:sz w:val="32"/>
          <w:szCs w:val="32"/>
        </w:rPr>
        <w:t>第四章</w:t>
      </w:r>
      <w:r w:rsidRPr="0038330F">
        <w:rPr>
          <w:rFonts w:ascii="黑体" w:eastAsia="黑体" w:hAnsi="黑体" w:cs="仿宋_GB2312"/>
          <w:sz w:val="32"/>
          <w:szCs w:val="32"/>
        </w:rPr>
        <w:tab/>
      </w:r>
      <w:r w:rsidRPr="0038330F">
        <w:rPr>
          <w:rFonts w:ascii="黑体" w:eastAsia="黑体" w:hAnsi="黑体" w:cs="仿宋_GB2312" w:hint="eastAsia"/>
          <w:sz w:val="32"/>
          <w:szCs w:val="32"/>
        </w:rPr>
        <w:t>操作要求</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七</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执行专利资产评估业务，应当对专利及其实施情况进行调查，</w:t>
      </w:r>
      <w:r w:rsidRPr="00007385">
        <w:rPr>
          <w:rFonts w:ascii="仿宋_GB2312" w:eastAsia="仿宋_GB2312" w:hAnsi="仿宋_GB2312" w:cs="仿宋_GB2312" w:hint="eastAsia"/>
          <w:sz w:val="32"/>
          <w:szCs w:val="32"/>
        </w:rPr>
        <w:t>包括必要的现场调查、市场调查，并收集相关信息、资料等。</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调查过程收集的相关信息、资料包括：</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（一）专利资产的权利人及实施企业基本情况；</w:t>
      </w:r>
    </w:p>
    <w:p w:rsidR="00373120" w:rsidRDefault="000F0D44" w:rsidP="0038330F">
      <w:pPr>
        <w:pStyle w:val="a8"/>
        <w:spacing w:beforeAutospacing="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（二）专利证书、最近一期的专利缴费凭证；</w:t>
      </w:r>
    </w:p>
    <w:p w:rsidR="00373120" w:rsidRDefault="000F0D44" w:rsidP="0038330F">
      <w:pPr>
        <w:pStyle w:val="a8"/>
        <w:spacing w:beforeAutospacing="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（三）专利权利要求书、专利说明书及其附图；</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lastRenderedPageBreak/>
        <w:t>（四）专利技术的研发过程、技术实验报告，专利资产所属技术领域的发展状况、技术水平、技术成熟度、同类技术竞争状况、技术更新速度等有关信息、资料；如果技术效果需要检测，还应当收集相关产品检测报告；</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（五）与分析专利产品的适用范围、市场需求、市场前景及市场寿命、相关行业政策发展状况、宏观经济、同类产品的竞争状况、专利产品的获利能力等相关的信息、资料；</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（六）以往的评估和交易情况，包括专利权转让合同、实施许可合同及其他交易情况。</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第十</w:t>
      </w:r>
      <w:r w:rsidR="0054692D">
        <w:rPr>
          <w:rFonts w:ascii="仿宋_GB2312" w:eastAsia="仿宋_GB2312" w:hAnsi="仿宋_GB2312" w:cs="仿宋_GB2312" w:hint="eastAsia"/>
          <w:b/>
          <w:bCs/>
          <w:sz w:val="32"/>
          <w:szCs w:val="32"/>
        </w:rPr>
        <w:t>八</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执行专利资产评估业务，应当尽可能获取与专利资产相关的财务数据及专利实施企业经审计的财务报表，对专利资产的相关财务数据进行</w:t>
      </w:r>
      <w:r w:rsidRPr="00007385">
        <w:rPr>
          <w:rFonts w:ascii="仿宋_GB2312" w:eastAsia="仿宋_GB2312" w:hAnsi="仿宋_GB2312" w:cs="仿宋_GB2312" w:hint="eastAsia"/>
          <w:sz w:val="32"/>
          <w:szCs w:val="32"/>
        </w:rPr>
        <w:t>分析。</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w:t>
      </w:r>
      <w:r w:rsidR="0054692D">
        <w:rPr>
          <w:rFonts w:ascii="仿宋_GB2312" w:eastAsia="仿宋_GB2312" w:hAnsi="仿宋_GB2312" w:cs="仿宋_GB2312" w:hint="eastAsia"/>
          <w:b/>
          <w:bCs/>
          <w:sz w:val="32"/>
          <w:szCs w:val="32"/>
        </w:rPr>
        <w:t>十九</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执行专利资产评估业务，应当分析下列事项及其对专利资产价值的影响：</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（一）专利权利要求书、专利说明书及其附图的内容；</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（二）专利权利要求书所记载的专利技术产品与其实施企业所生产产品的对应性。</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评估业务，应当对影响专利资产价值的法律因素进行分析，通常包括专利资产的权利属性及权利限制、专利类别、专利的法律状态、专利剩余法定保护期限、专利的保护范围等。资产评估专业人员应当关注专利所有权与使用权的差异、专利使用权的具体形式、以往许可和转让的情况对专利资产价值的影响。</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lastRenderedPageBreak/>
        <w:t>资产评估专业人员应当关注发明、实用新型、外观设计的审批条件、审批程序、保护范围、保护期限、审批阶段的差异对专利资产价值的影响。</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资产评估专业人员应当关注专利所处审批阶段，专利是否涉及法律诉讼或者处于复审、宣告无效状态，以及专利有效性维持情况对专利资产价值的影响。</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hint="eastAsia"/>
          <w:b/>
          <w:bCs/>
          <w:sz w:val="32"/>
          <w:szCs w:val="32"/>
        </w:rPr>
        <w:t>一</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执行专利资产评估业务，应当对影响专利资产价值的技术因素进行分析，通常包括替代性、先进性、创新性、成熟度、实用性、防御性、垄断性等。</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hint="eastAsia"/>
          <w:b/>
          <w:bCs/>
          <w:sz w:val="32"/>
          <w:szCs w:val="32"/>
        </w:rPr>
        <w:t>二</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对影响专利资产价值的经济因素进行分析时，通常包括专利资产的取得成本、获利状况、许可费、类似资产的交易价格、市场应用情况、市场规模情况、市场占有率、竞争情况等。</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hint="eastAsia"/>
          <w:b/>
          <w:bCs/>
          <w:sz w:val="32"/>
          <w:szCs w:val="32"/>
        </w:rPr>
        <w:t>三</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当专利资产与其他资产共同发挥作用时，资产评估专业人员应当分析专利资产的作用，</w:t>
      </w:r>
      <w:r w:rsidR="000F0D44" w:rsidRPr="00007385">
        <w:rPr>
          <w:rFonts w:ascii="仿宋_GB2312" w:eastAsia="仿宋_GB2312" w:hAnsi="仿宋_GB2312" w:cs="仿宋_GB2312" w:hint="eastAsia"/>
          <w:sz w:val="32"/>
          <w:szCs w:val="32"/>
        </w:rPr>
        <w:t>确定该专利资产的价值。</w:t>
      </w:r>
    </w:p>
    <w:p w:rsidR="00373120" w:rsidRDefault="006F5E5A" w:rsidP="0038330F">
      <w:pPr>
        <w:pStyle w:val="a8"/>
        <w:tabs>
          <w:tab w:val="left" w:pos="2310"/>
        </w:tabs>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hint="eastAsia"/>
          <w:b/>
          <w:bCs/>
          <w:sz w:val="32"/>
          <w:szCs w:val="32"/>
        </w:rPr>
        <w:t>四</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执行专利资产评估业务，应当关注经营条件等对专利资产作用和价值的影响。</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hint="eastAsia"/>
          <w:b/>
          <w:bCs/>
          <w:sz w:val="32"/>
          <w:szCs w:val="32"/>
        </w:rPr>
        <w:t>五</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执行专利资产法律诉讼评估业务，应当关注相关案情基本情况、经过质证的资料以及专利权的历史诉讼情况。</w:t>
      </w:r>
    </w:p>
    <w:p w:rsidR="00373120" w:rsidRDefault="006F5E5A" w:rsidP="0038330F">
      <w:pPr>
        <w:pStyle w:val="a8"/>
        <w:spacing w:before="0" w:beforeAutospacing="0" w:after="0" w:afterAutospacing="0" w:line="360" w:lineRule="auto"/>
        <w:ind w:firstLineChars="200" w:firstLine="643"/>
        <w:rPr>
          <w:rFonts w:ascii="仿宋_GB2312" w:eastAsia="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b/>
          <w:bCs/>
          <w:sz w:val="32"/>
          <w:szCs w:val="32"/>
        </w:rPr>
        <w:t>六</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w:t>
      </w:r>
      <w:r w:rsidR="00DA41F5" w:rsidRPr="00007385">
        <w:rPr>
          <w:rFonts w:ascii="仿宋_GB2312" w:eastAsia="仿宋_GB2312" w:hint="eastAsia"/>
          <w:sz w:val="32"/>
          <w:szCs w:val="32"/>
        </w:rPr>
        <w:t>确定专利</w:t>
      </w:r>
      <w:r w:rsidR="00DA41F5" w:rsidRPr="00007385">
        <w:rPr>
          <w:rFonts w:ascii="仿宋_GB2312" w:eastAsia="仿宋_GB2312"/>
          <w:sz w:val="32"/>
          <w:szCs w:val="32"/>
        </w:rPr>
        <w:t>资产</w:t>
      </w:r>
      <w:r w:rsidR="00DA41F5" w:rsidRPr="00007385">
        <w:rPr>
          <w:rFonts w:ascii="仿宋_GB2312" w:eastAsia="仿宋_GB2312" w:hint="eastAsia"/>
          <w:sz w:val="32"/>
          <w:szCs w:val="32"/>
        </w:rPr>
        <w:t>价值的</w:t>
      </w:r>
      <w:r w:rsidR="00DA41F5" w:rsidRPr="00007385">
        <w:rPr>
          <w:rFonts w:ascii="仿宋_GB2312" w:eastAsia="仿宋_GB2312"/>
          <w:sz w:val="32"/>
          <w:szCs w:val="32"/>
        </w:rPr>
        <w:t>评估方法包括市场法、收益法和成本法三种基本方法及其衍生方法。</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lastRenderedPageBreak/>
        <w:t>执行专利资产评估业务，应当根据评估目的、评估对象、价值类型、资料收集</w:t>
      </w:r>
      <w:r w:rsidR="00DA7C4A" w:rsidRPr="00007385">
        <w:rPr>
          <w:rFonts w:ascii="仿宋_GB2312" w:eastAsia="仿宋_GB2312" w:hAnsi="仿宋_GB2312" w:cs="仿宋_GB2312" w:hint="eastAsia"/>
          <w:sz w:val="32"/>
          <w:szCs w:val="32"/>
        </w:rPr>
        <w:t>等</w:t>
      </w:r>
      <w:r w:rsidRPr="00007385">
        <w:rPr>
          <w:rFonts w:ascii="仿宋_GB2312" w:eastAsia="仿宋_GB2312" w:hAnsi="仿宋_GB2312" w:cs="仿宋_GB2312" w:hint="eastAsia"/>
          <w:sz w:val="32"/>
          <w:szCs w:val="32"/>
        </w:rPr>
        <w:t>情况，分析</w:t>
      </w:r>
      <w:r w:rsidR="00DA41F5" w:rsidRPr="00007385">
        <w:rPr>
          <w:rFonts w:ascii="仿宋_GB2312" w:eastAsia="仿宋_GB2312" w:hAnsi="仿宋_GB2312" w:cs="仿宋_GB2312" w:hint="eastAsia"/>
          <w:sz w:val="32"/>
          <w:szCs w:val="32"/>
        </w:rPr>
        <w:t>上述</w:t>
      </w:r>
      <w:r w:rsidRPr="00007385">
        <w:rPr>
          <w:rFonts w:ascii="仿宋_GB2312" w:eastAsia="仿宋_GB2312" w:hAnsi="仿宋_GB2312" w:cs="仿宋_GB2312" w:hint="eastAsia"/>
          <w:sz w:val="32"/>
          <w:szCs w:val="32"/>
        </w:rPr>
        <w:t>三种基本方法的适用性，选择评估方法。</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b/>
          <w:bCs/>
          <w:sz w:val="32"/>
          <w:szCs w:val="32"/>
        </w:rPr>
        <w:t>七</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运用收益法进行专利资产评估时，应当收集专利产品的相关收入、成本、费用等数据。</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资产评估专业人员应当对委托人或者</w:t>
      </w:r>
      <w:r w:rsidR="008D0F75">
        <w:rPr>
          <w:rFonts w:ascii="仿宋_GB2312" w:eastAsia="仿宋_GB2312" w:hAnsi="仿宋_GB2312" w:cs="仿宋_GB2312" w:hint="eastAsia"/>
          <w:sz w:val="32"/>
          <w:szCs w:val="32"/>
        </w:rPr>
        <w:t>其他</w:t>
      </w:r>
      <w:r w:rsidRPr="00007385">
        <w:rPr>
          <w:rFonts w:ascii="仿宋_GB2312" w:eastAsia="仿宋_GB2312" w:hAnsi="仿宋_GB2312" w:cs="仿宋_GB2312" w:hint="eastAsia"/>
          <w:sz w:val="32"/>
          <w:szCs w:val="32"/>
        </w:rPr>
        <w:t>相关当事人提供的专利未来实施情况和收益状况的预测进行分析、判断和调整，确信相关预测的合理性。</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资产评估专业人员应当根据专利资产的具体情况选择收益口径。</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第二十</w:t>
      </w:r>
      <w:r w:rsidR="0054692D">
        <w:rPr>
          <w:rFonts w:ascii="仿宋_GB2312" w:eastAsia="仿宋_GB2312" w:hAnsi="仿宋_GB2312" w:cs="仿宋_GB2312" w:hint="eastAsia"/>
          <w:b/>
          <w:bCs/>
          <w:sz w:val="32"/>
          <w:szCs w:val="32"/>
        </w:rPr>
        <w:t>八</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采用收益法进行专利资产评估时，应当</w:t>
      </w:r>
      <w:r w:rsidR="000F0D44" w:rsidRPr="00007385">
        <w:rPr>
          <w:rFonts w:ascii="仿宋_GB2312" w:eastAsia="仿宋_GB2312" w:hAnsi="仿宋_GB2312" w:cs="仿宋_GB2312" w:hint="eastAsia"/>
          <w:sz w:val="32"/>
          <w:szCs w:val="32"/>
        </w:rPr>
        <w:t>确定预期收益。</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专利资产的预期收益应当是专利的使用而额外带来的收益，可以通过增量收益、节省许可费、收益分成或者超额收益等方式估算。确定预期收益时，应当区分并剔除与委托评估的专利资产无关的业务产生的收益，并关注专利产品或者服务所属行业的市场规模、市场地位及相关企业的经营情况。</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w:t>
      </w:r>
      <w:r w:rsidR="0054692D">
        <w:rPr>
          <w:rFonts w:ascii="仿宋_GB2312" w:eastAsia="仿宋_GB2312" w:hAnsi="仿宋_GB2312" w:cs="仿宋_GB2312" w:hint="eastAsia"/>
          <w:b/>
          <w:bCs/>
          <w:sz w:val="32"/>
          <w:szCs w:val="32"/>
        </w:rPr>
        <w:t>二十九</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采用收益法进行专利资产评估时应当合理确定专利资产收益期限。收益期限可以通过分析专利资产的技术寿命、技术成熟度、专利法定寿命及与专利资产相关的合同约定期限等确定。 </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lastRenderedPageBreak/>
        <w:t>第</w:t>
      </w:r>
      <w:r w:rsidR="0054692D">
        <w:rPr>
          <w:rFonts w:ascii="仿宋_GB2312" w:eastAsia="仿宋_GB2312" w:hAnsi="仿宋_GB2312" w:cs="仿宋_GB2312"/>
          <w:b/>
          <w:bCs/>
          <w:sz w:val="32"/>
          <w:szCs w:val="32"/>
        </w:rPr>
        <w:t>三十</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采用收益法进行专利资产评估时应当合理确定折现率。折现率可以通过分析评估基准日的利率、投资回报率，以及专利实施过程中的技术、经营、市场、资金等因素确定。专利资产折现率可以采用无风险</w:t>
      </w:r>
      <w:r w:rsidRPr="00007385">
        <w:rPr>
          <w:rFonts w:ascii="仿宋_GB2312" w:eastAsia="仿宋_GB2312" w:hAnsi="仿宋_GB2312" w:cs="仿宋_GB2312" w:hint="eastAsia"/>
          <w:sz w:val="32"/>
          <w:szCs w:val="32"/>
        </w:rPr>
        <w:t>报酬率加风险报酬率的方式确定。专利资产折现率应当与预期收益的口径保持一致。</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第三十</w:t>
      </w:r>
      <w:r w:rsidR="0054692D">
        <w:rPr>
          <w:rFonts w:ascii="仿宋_GB2312" w:eastAsia="仿宋_GB2312" w:hAnsi="仿宋_GB2312" w:cs="仿宋_GB2312"/>
          <w:b/>
          <w:bCs/>
          <w:sz w:val="32"/>
          <w:szCs w:val="32"/>
        </w:rPr>
        <w:t>一</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采用市场法进行专利资产评估时，应当收集</w:t>
      </w:r>
      <w:r w:rsidR="00373120" w:rsidRPr="0038330F">
        <w:rPr>
          <w:rFonts w:ascii="仿宋_GB2312" w:eastAsia="仿宋_GB2312" w:hAnsi="仿宋_GB2312" w:cs="仿宋_GB2312" w:hint="eastAsia"/>
          <w:sz w:val="32"/>
          <w:szCs w:val="32"/>
        </w:rPr>
        <w:t>足够的</w:t>
      </w:r>
      <w:r w:rsidRPr="00007385">
        <w:rPr>
          <w:rFonts w:ascii="仿宋_GB2312" w:eastAsia="仿宋_GB2312" w:hAnsi="仿宋_GB2312" w:cs="仿宋_GB2312" w:hint="eastAsia"/>
          <w:sz w:val="32"/>
          <w:szCs w:val="32"/>
        </w:rPr>
        <w:t>可比交易案例，并对专利资产与可比交易案例之间的各种差异因素进行分析、比较和调整。</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第三十</w:t>
      </w:r>
      <w:r w:rsidR="0054692D">
        <w:rPr>
          <w:rFonts w:ascii="仿宋_GB2312" w:eastAsia="仿宋_GB2312" w:hAnsi="仿宋_GB2312" w:cs="仿宋_GB2312"/>
          <w:b/>
          <w:bCs/>
          <w:sz w:val="32"/>
          <w:szCs w:val="32"/>
        </w:rPr>
        <w:t>二</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采用成本法进行专利资产评估时，应当合理确定专利资产的重置成本。重置成本包括合理的成本、利润和相关税费等。</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确定专利资产重置成本时，应当确定形成专利资产所需的直接成本、间接费用、合理的利润及相关的税费等。</w:t>
      </w:r>
    </w:p>
    <w:p w:rsidR="00373120" w:rsidRDefault="006F5E5A"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第三十</w:t>
      </w:r>
      <w:r w:rsidR="0054692D">
        <w:rPr>
          <w:rFonts w:ascii="仿宋_GB2312" w:eastAsia="仿宋_GB2312" w:hAnsi="仿宋_GB2312" w:cs="仿宋_GB2312"/>
          <w:b/>
          <w:bCs/>
          <w:sz w:val="32"/>
          <w:szCs w:val="32"/>
        </w:rPr>
        <w:t>三</w:t>
      </w:r>
      <w:r w:rsidR="000F0D44" w:rsidRPr="00007385">
        <w:rPr>
          <w:rFonts w:ascii="仿宋_GB2312" w:eastAsia="仿宋_GB2312" w:hAnsi="仿宋_GB2312" w:cs="仿宋_GB2312" w:hint="eastAsia"/>
          <w:b/>
          <w:bCs/>
          <w:sz w:val="32"/>
          <w:szCs w:val="32"/>
        </w:rPr>
        <w:t>条</w:t>
      </w:r>
      <w:r w:rsidR="000F0D44" w:rsidRPr="00007385">
        <w:rPr>
          <w:rFonts w:ascii="仿宋_GB2312" w:eastAsia="仿宋_GB2312" w:hAnsi="仿宋_GB2312" w:cs="仿宋_GB2312"/>
          <w:sz w:val="32"/>
          <w:szCs w:val="32"/>
        </w:rPr>
        <w:t xml:space="preserve">  采用成本法进行专利资产评估时，应当合理确定贬值。</w:t>
      </w:r>
    </w:p>
    <w:p w:rsidR="009A5D9A" w:rsidRPr="0038330F" w:rsidRDefault="00373120" w:rsidP="006119BB">
      <w:pPr>
        <w:pStyle w:val="a8"/>
        <w:spacing w:beforeLines="50" w:before="156" w:beforeAutospacing="0" w:afterLines="50" w:after="156" w:afterAutospacing="0" w:line="360" w:lineRule="auto"/>
        <w:jc w:val="center"/>
        <w:rPr>
          <w:rFonts w:ascii="黑体" w:eastAsia="黑体" w:hAnsi="黑体" w:cs="仿宋_GB2312"/>
          <w:sz w:val="32"/>
          <w:szCs w:val="32"/>
        </w:rPr>
      </w:pPr>
      <w:r w:rsidRPr="0038330F">
        <w:rPr>
          <w:rFonts w:ascii="黑体" w:eastAsia="黑体" w:hAnsi="黑体" w:cs="仿宋_GB2312" w:hint="eastAsia"/>
          <w:sz w:val="32"/>
          <w:szCs w:val="32"/>
        </w:rPr>
        <w:t>第五章</w:t>
      </w:r>
      <w:r w:rsidRPr="0038330F">
        <w:rPr>
          <w:rFonts w:ascii="黑体" w:eastAsia="黑体" w:hAnsi="黑体" w:cs="仿宋_GB2312"/>
          <w:sz w:val="32"/>
          <w:szCs w:val="32"/>
        </w:rPr>
        <w:tab/>
      </w:r>
      <w:r w:rsidRPr="0038330F">
        <w:rPr>
          <w:rFonts w:ascii="黑体" w:eastAsia="黑体" w:hAnsi="黑体" w:cs="仿宋_GB2312" w:hint="eastAsia"/>
          <w:sz w:val="32"/>
          <w:szCs w:val="32"/>
        </w:rPr>
        <w:t>披露要求</w:t>
      </w:r>
    </w:p>
    <w:p w:rsidR="00373120" w:rsidRDefault="000F0D44" w:rsidP="0038330F">
      <w:pPr>
        <w:pStyle w:val="a8"/>
        <w:spacing w:before="0" w:beforeAutospacing="0" w:after="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第三十</w:t>
      </w:r>
      <w:r w:rsidR="0054692D">
        <w:rPr>
          <w:rFonts w:ascii="仿宋_GB2312" w:eastAsia="仿宋_GB2312" w:hAnsi="仿宋_GB2312" w:cs="仿宋_GB2312"/>
          <w:b/>
          <w:bCs/>
          <w:sz w:val="32"/>
          <w:szCs w:val="32"/>
        </w:rPr>
        <w:t>四</w:t>
      </w:r>
      <w:r w:rsidRPr="00007385">
        <w:rPr>
          <w:rFonts w:ascii="仿宋_GB2312" w:eastAsia="仿宋_GB2312" w:hAnsi="仿宋_GB2312" w:cs="仿宋_GB2312" w:hint="eastAsia"/>
          <w:b/>
          <w:bCs/>
          <w:sz w:val="32"/>
          <w:szCs w:val="32"/>
        </w:rPr>
        <w:t>条</w:t>
      </w:r>
      <w:r w:rsidRPr="00007385">
        <w:rPr>
          <w:rFonts w:ascii="仿宋_GB2312" w:eastAsia="仿宋_GB2312" w:hAnsi="仿宋_GB2312" w:cs="仿宋_GB2312"/>
          <w:sz w:val="32"/>
          <w:szCs w:val="32"/>
        </w:rPr>
        <w:t xml:space="preserve">  编制专利资产评估报告应当反映专利资产的特点，通常包括</w:t>
      </w:r>
      <w:r w:rsidR="00DA41F5" w:rsidRPr="00007385">
        <w:rPr>
          <w:rFonts w:ascii="仿宋_GB2312" w:eastAsia="仿宋_GB2312" w:hAnsi="仿宋_GB2312" w:cs="仿宋_GB2312" w:hint="eastAsia"/>
          <w:sz w:val="32"/>
          <w:szCs w:val="32"/>
        </w:rPr>
        <w:t>下列</w:t>
      </w:r>
      <w:r w:rsidRPr="00007385">
        <w:rPr>
          <w:rFonts w:ascii="仿宋_GB2312" w:eastAsia="仿宋_GB2312" w:hAnsi="仿宋_GB2312" w:cs="仿宋_GB2312" w:hint="eastAsia"/>
          <w:sz w:val="32"/>
          <w:szCs w:val="32"/>
        </w:rPr>
        <w:t>内容：</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（一）评估对象的详细情况，通常包括专利资产的权利属性、使用权具体形式、法律状态、专利申请号及专利权利要求等；</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（二）专利资产的技术状况和实施状况；</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lastRenderedPageBreak/>
        <w:t>（三）对影响专利资产价值的法律因素、技术因素、经济因素的分析过程；</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（四）专利的实施经营条件；</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（五）使用的评估假设</w:t>
      </w:r>
      <w:r w:rsidR="006442C0">
        <w:rPr>
          <w:rFonts w:ascii="仿宋_GB2312" w:eastAsia="仿宋_GB2312" w:hAnsi="仿宋_GB2312" w:cs="仿宋_GB2312"/>
          <w:sz w:val="32"/>
          <w:szCs w:val="32"/>
        </w:rPr>
        <w:t>和</w:t>
      </w:r>
      <w:r w:rsidRPr="00007385">
        <w:rPr>
          <w:rFonts w:ascii="仿宋_GB2312" w:eastAsia="仿宋_GB2312" w:hAnsi="仿宋_GB2312" w:cs="仿宋_GB2312" w:hint="eastAsia"/>
          <w:sz w:val="32"/>
          <w:szCs w:val="32"/>
        </w:rPr>
        <w:t>限</w:t>
      </w:r>
      <w:r w:rsidR="006442C0">
        <w:rPr>
          <w:rFonts w:ascii="仿宋_GB2312" w:eastAsia="仿宋_GB2312" w:hAnsi="仿宋_GB2312" w:cs="仿宋_GB2312" w:hint="eastAsia"/>
          <w:sz w:val="32"/>
          <w:szCs w:val="32"/>
        </w:rPr>
        <w:t>制</w:t>
      </w:r>
      <w:r w:rsidRPr="00007385">
        <w:rPr>
          <w:rFonts w:ascii="仿宋_GB2312" w:eastAsia="仿宋_GB2312" w:hAnsi="仿宋_GB2312" w:cs="仿宋_GB2312" w:hint="eastAsia"/>
          <w:sz w:val="32"/>
          <w:szCs w:val="32"/>
        </w:rPr>
        <w:t>条件；</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（六）专利权许可、转让、诉讼、无效请求及质押情况；</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（七）有关评估方法的主要内容，包括评估方法的选取及其理由，评估方法中的运算和逻辑推理方式，各重要参数的来源、分析、比较与测算过程，对</w:t>
      </w:r>
      <w:r w:rsidR="000029D7">
        <w:rPr>
          <w:rFonts w:ascii="仿宋_GB2312" w:eastAsia="仿宋_GB2312" w:hAnsi="仿宋_GB2312" w:cs="仿宋_GB2312" w:hint="eastAsia"/>
          <w:sz w:val="32"/>
          <w:szCs w:val="32"/>
        </w:rPr>
        <w:t>测算结果</w:t>
      </w:r>
      <w:r w:rsidRPr="00007385">
        <w:rPr>
          <w:rFonts w:ascii="仿宋_GB2312" w:eastAsia="仿宋_GB2312" w:hAnsi="仿宋_GB2312" w:cs="仿宋_GB2312" w:hint="eastAsia"/>
          <w:sz w:val="32"/>
          <w:szCs w:val="32"/>
        </w:rPr>
        <w:t>进行分析并形成评估结论的过程；</w:t>
      </w:r>
    </w:p>
    <w:p w:rsidR="00373120" w:rsidRDefault="000F0D44" w:rsidP="0038330F">
      <w:pPr>
        <w:pStyle w:val="a8"/>
        <w:spacing w:before="0" w:beforeAutospacing="0" w:after="0" w:afterAutospacing="0" w:line="360" w:lineRule="auto"/>
        <w:ind w:firstLineChars="200" w:firstLine="640"/>
        <w:rPr>
          <w:rFonts w:ascii="仿宋_GB2312" w:eastAsia="仿宋_GB2312" w:hAnsi="仿宋_GB2312" w:cs="仿宋_GB2312"/>
          <w:sz w:val="32"/>
          <w:szCs w:val="32"/>
        </w:rPr>
      </w:pPr>
      <w:r w:rsidRPr="00007385">
        <w:rPr>
          <w:rFonts w:ascii="仿宋_GB2312" w:eastAsia="仿宋_GB2312" w:hAnsi="仿宋_GB2312" w:cs="仿宋_GB2312" w:hint="eastAsia"/>
          <w:sz w:val="32"/>
          <w:szCs w:val="32"/>
        </w:rPr>
        <w:t>（八）其他必要信息。</w:t>
      </w:r>
    </w:p>
    <w:p w:rsidR="009A5D9A" w:rsidRPr="0038330F" w:rsidRDefault="00373120" w:rsidP="006119BB">
      <w:pPr>
        <w:pStyle w:val="a8"/>
        <w:spacing w:beforeLines="50" w:before="156" w:beforeAutospacing="0" w:afterLines="50" w:after="156" w:afterAutospacing="0" w:line="360" w:lineRule="auto"/>
        <w:jc w:val="center"/>
        <w:rPr>
          <w:rFonts w:ascii="黑体" w:eastAsia="黑体" w:hAnsi="黑体" w:cs="仿宋_GB2312"/>
          <w:sz w:val="32"/>
          <w:szCs w:val="32"/>
        </w:rPr>
      </w:pPr>
      <w:r w:rsidRPr="0038330F">
        <w:rPr>
          <w:rFonts w:ascii="黑体" w:eastAsia="黑体" w:hAnsi="黑体" w:cs="仿宋_GB2312" w:hint="eastAsia"/>
          <w:sz w:val="32"/>
          <w:szCs w:val="32"/>
        </w:rPr>
        <w:t>第六章</w:t>
      </w:r>
      <w:r w:rsidRPr="0038330F">
        <w:rPr>
          <w:rFonts w:ascii="黑体" w:eastAsia="黑体" w:hAnsi="黑体" w:cs="仿宋_GB2312"/>
          <w:sz w:val="32"/>
          <w:szCs w:val="32"/>
        </w:rPr>
        <w:tab/>
      </w:r>
      <w:r w:rsidRPr="0038330F">
        <w:rPr>
          <w:rFonts w:ascii="黑体" w:eastAsia="黑体" w:hAnsi="黑体" w:cs="仿宋_GB2312" w:hint="eastAsia"/>
          <w:sz w:val="32"/>
          <w:szCs w:val="32"/>
        </w:rPr>
        <w:t>附则</w:t>
      </w:r>
    </w:p>
    <w:p w:rsidR="00373120" w:rsidRDefault="000F0D44" w:rsidP="0038330F">
      <w:pPr>
        <w:pStyle w:val="a8"/>
        <w:spacing w:beforeAutospacing="0" w:afterAutospacing="0" w:line="360" w:lineRule="auto"/>
        <w:ind w:firstLineChars="200" w:firstLine="643"/>
        <w:rPr>
          <w:rFonts w:ascii="仿宋_GB2312" w:eastAsia="仿宋_GB2312" w:hAnsi="仿宋_GB2312" w:cs="仿宋_GB2312"/>
          <w:sz w:val="32"/>
          <w:szCs w:val="32"/>
        </w:rPr>
      </w:pPr>
      <w:r w:rsidRPr="00007385">
        <w:rPr>
          <w:rFonts w:ascii="仿宋_GB2312" w:eastAsia="仿宋_GB2312" w:hAnsi="仿宋_GB2312" w:cs="仿宋_GB2312" w:hint="eastAsia"/>
          <w:b/>
          <w:bCs/>
          <w:sz w:val="32"/>
          <w:szCs w:val="32"/>
        </w:rPr>
        <w:t>第三十</w:t>
      </w:r>
      <w:r w:rsidR="0054692D">
        <w:rPr>
          <w:rFonts w:ascii="仿宋_GB2312" w:eastAsia="仿宋_GB2312" w:hAnsi="仿宋_GB2312" w:cs="仿宋_GB2312"/>
          <w:b/>
          <w:bCs/>
          <w:sz w:val="32"/>
          <w:szCs w:val="32"/>
        </w:rPr>
        <w:t>五</w:t>
      </w:r>
      <w:r w:rsidRPr="00007385">
        <w:rPr>
          <w:rFonts w:ascii="仿宋_GB2312" w:eastAsia="仿宋_GB2312" w:hAnsi="仿宋_GB2312" w:cs="仿宋_GB2312" w:hint="eastAsia"/>
          <w:b/>
          <w:bCs/>
          <w:sz w:val="32"/>
          <w:szCs w:val="32"/>
        </w:rPr>
        <w:t>条</w:t>
      </w:r>
      <w:r w:rsidR="0010490A">
        <w:rPr>
          <w:rFonts w:ascii="仿宋_GB2312" w:eastAsia="仿宋_GB2312" w:hAnsi="仿宋_GB2312" w:cs="仿宋_GB2312" w:hint="eastAsia"/>
          <w:b/>
          <w:bCs/>
          <w:sz w:val="32"/>
          <w:szCs w:val="32"/>
        </w:rPr>
        <w:t xml:space="preserve">  </w:t>
      </w:r>
      <w:r w:rsidRPr="00007385">
        <w:rPr>
          <w:rFonts w:ascii="仿宋_GB2312" w:eastAsia="仿宋_GB2312" w:hint="eastAsia"/>
          <w:sz w:val="32"/>
          <w:szCs w:val="32"/>
        </w:rPr>
        <w:t>本指导意见自</w:t>
      </w:r>
      <w:r w:rsidR="00DA41F5" w:rsidRPr="00007385">
        <w:rPr>
          <w:rFonts w:ascii="仿宋_GB2312" w:eastAsia="仿宋_GB2312"/>
          <w:sz w:val="32"/>
          <w:szCs w:val="32"/>
        </w:rPr>
        <w:t>2017年</w:t>
      </w:r>
      <w:r w:rsidR="00CC0E57" w:rsidRPr="00007385">
        <w:rPr>
          <w:rFonts w:ascii="仿宋_GB2312" w:eastAsia="仿宋_GB2312"/>
          <w:sz w:val="32"/>
          <w:szCs w:val="32"/>
        </w:rPr>
        <w:t>10</w:t>
      </w:r>
      <w:r w:rsidRPr="00007385">
        <w:rPr>
          <w:rFonts w:ascii="仿宋_GB2312" w:eastAsia="仿宋_GB2312" w:hint="eastAsia"/>
          <w:sz w:val="32"/>
          <w:szCs w:val="32"/>
        </w:rPr>
        <w:t>月</w:t>
      </w:r>
      <w:r w:rsidR="00CC0E57" w:rsidRPr="00007385">
        <w:rPr>
          <w:rFonts w:ascii="仿宋_GB2312" w:eastAsia="仿宋_GB2312"/>
          <w:sz w:val="32"/>
          <w:szCs w:val="32"/>
        </w:rPr>
        <w:t>1</w:t>
      </w:r>
      <w:r w:rsidRPr="00007385">
        <w:rPr>
          <w:rFonts w:ascii="仿宋_GB2312" w:eastAsia="仿宋_GB2312" w:hint="eastAsia"/>
          <w:sz w:val="32"/>
          <w:szCs w:val="32"/>
        </w:rPr>
        <w:t>日起施行。中国资产评估协会于</w:t>
      </w:r>
      <w:r w:rsidRPr="00007385">
        <w:rPr>
          <w:rFonts w:ascii="仿宋_GB2312" w:eastAsia="仿宋_GB2312"/>
          <w:sz w:val="32"/>
          <w:szCs w:val="32"/>
        </w:rPr>
        <w:t>2008年11月28日发布的《关于印发〈资产评估准则</w:t>
      </w:r>
      <w:r w:rsidRPr="00007385">
        <w:rPr>
          <w:rFonts w:ascii="仿宋_GB2312" w:eastAsia="仿宋_GB2312"/>
          <w:sz w:val="32"/>
          <w:szCs w:val="32"/>
        </w:rPr>
        <w:t>——</w:t>
      </w:r>
      <w:r w:rsidRPr="00007385">
        <w:rPr>
          <w:rFonts w:ascii="仿宋_GB2312" w:eastAsia="仿宋_GB2312"/>
          <w:sz w:val="32"/>
          <w:szCs w:val="32"/>
        </w:rPr>
        <w:t>无形资产〉和〈专利资产评估指导意见〉的通知》（</w:t>
      </w:r>
      <w:r w:rsidRPr="00007385">
        <w:rPr>
          <w:rFonts w:ascii="仿宋_GB2312" w:eastAsia="仿宋_GB2312" w:hint="eastAsia"/>
          <w:sz w:val="32"/>
          <w:szCs w:val="32"/>
        </w:rPr>
        <w:t>中评协〔</w:t>
      </w:r>
      <w:r w:rsidRPr="00007385">
        <w:rPr>
          <w:rFonts w:ascii="仿宋_GB2312" w:eastAsia="仿宋_GB2312"/>
          <w:sz w:val="32"/>
          <w:szCs w:val="32"/>
        </w:rPr>
        <w:t>2008〕217号）中的《专利资产评估指导意见》同时废止。</w:t>
      </w:r>
    </w:p>
    <w:sectPr w:rsidR="00373120" w:rsidSect="00227F64">
      <w:headerReference w:type="default" r:id="rId9"/>
      <w:pgSz w:w="11906" w:h="16838"/>
      <w:pgMar w:top="1134" w:right="1797" w:bottom="1134" w:left="1797"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520F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0D6" w:rsidRDefault="008D60D6">
      <w:r>
        <w:separator/>
      </w:r>
    </w:p>
  </w:endnote>
  <w:endnote w:type="continuationSeparator" w:id="0">
    <w:p w:rsidR="008D60D6" w:rsidRDefault="008D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0D6" w:rsidRDefault="008D60D6">
      <w:r>
        <w:separator/>
      </w:r>
    </w:p>
  </w:footnote>
  <w:footnote w:type="continuationSeparator" w:id="0">
    <w:p w:rsidR="008D60D6" w:rsidRDefault="008D6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D9A" w:rsidRDefault="009A5D9A">
    <w:pPr>
      <w:pStyle w:val="a7"/>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vin Mars">
    <w15:presenceInfo w15:providerId="Windows Live" w15:userId="efae6c8758638271"/>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A5D9A"/>
    <w:rsid w:val="000029D7"/>
    <w:rsid w:val="00007385"/>
    <w:rsid w:val="000A1012"/>
    <w:rsid w:val="000C3D16"/>
    <w:rsid w:val="000F0D44"/>
    <w:rsid w:val="0010490A"/>
    <w:rsid w:val="001344E6"/>
    <w:rsid w:val="0016682C"/>
    <w:rsid w:val="001D6F21"/>
    <w:rsid w:val="002264BF"/>
    <w:rsid w:val="00227F64"/>
    <w:rsid w:val="00285541"/>
    <w:rsid w:val="00373120"/>
    <w:rsid w:val="0038330F"/>
    <w:rsid w:val="00465F61"/>
    <w:rsid w:val="004B41AA"/>
    <w:rsid w:val="004E0D4F"/>
    <w:rsid w:val="005443E5"/>
    <w:rsid w:val="0054692D"/>
    <w:rsid w:val="00597B35"/>
    <w:rsid w:val="005D3374"/>
    <w:rsid w:val="005D4839"/>
    <w:rsid w:val="006119BB"/>
    <w:rsid w:val="006442C0"/>
    <w:rsid w:val="00656242"/>
    <w:rsid w:val="006B6C9D"/>
    <w:rsid w:val="006F5E5A"/>
    <w:rsid w:val="008D0F75"/>
    <w:rsid w:val="008D60D6"/>
    <w:rsid w:val="008E1A1F"/>
    <w:rsid w:val="008E3210"/>
    <w:rsid w:val="0093106F"/>
    <w:rsid w:val="009527D2"/>
    <w:rsid w:val="009A5D9A"/>
    <w:rsid w:val="00A20BDE"/>
    <w:rsid w:val="00A20CEB"/>
    <w:rsid w:val="00A775FC"/>
    <w:rsid w:val="00A935B8"/>
    <w:rsid w:val="00AA3E9D"/>
    <w:rsid w:val="00B55D60"/>
    <w:rsid w:val="00B61E44"/>
    <w:rsid w:val="00B76FEA"/>
    <w:rsid w:val="00C13CBE"/>
    <w:rsid w:val="00C60092"/>
    <w:rsid w:val="00C72940"/>
    <w:rsid w:val="00CC0E57"/>
    <w:rsid w:val="00CE5D3A"/>
    <w:rsid w:val="00CF77F6"/>
    <w:rsid w:val="00D430C8"/>
    <w:rsid w:val="00D9210F"/>
    <w:rsid w:val="00DA41F5"/>
    <w:rsid w:val="00DA7C4A"/>
    <w:rsid w:val="00DD5B8E"/>
    <w:rsid w:val="00DF0EA6"/>
    <w:rsid w:val="00DF76C1"/>
    <w:rsid w:val="00E935D3"/>
    <w:rsid w:val="00E97CEB"/>
    <w:rsid w:val="00F03CA6"/>
    <w:rsid w:val="00F93F0F"/>
    <w:rsid w:val="00FA1205"/>
    <w:rsid w:val="00FA68D5"/>
    <w:rsid w:val="00FB1003"/>
    <w:rsid w:val="00FC0543"/>
    <w:rsid w:val="00FE08FA"/>
    <w:rsid w:val="00FF79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F6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227F64"/>
    <w:rPr>
      <w:b/>
      <w:bCs/>
    </w:rPr>
  </w:style>
  <w:style w:type="paragraph" w:styleId="a4">
    <w:name w:val="annotation text"/>
    <w:basedOn w:val="a"/>
    <w:link w:val="Char0"/>
    <w:rsid w:val="00227F64"/>
    <w:pPr>
      <w:jc w:val="left"/>
    </w:pPr>
  </w:style>
  <w:style w:type="paragraph" w:styleId="a5">
    <w:name w:val="Balloon Text"/>
    <w:basedOn w:val="a"/>
    <w:semiHidden/>
    <w:qFormat/>
    <w:rsid w:val="00227F64"/>
    <w:rPr>
      <w:sz w:val="18"/>
      <w:szCs w:val="18"/>
    </w:rPr>
  </w:style>
  <w:style w:type="paragraph" w:styleId="a6">
    <w:name w:val="footer"/>
    <w:basedOn w:val="a"/>
    <w:rsid w:val="00227F64"/>
    <w:pPr>
      <w:tabs>
        <w:tab w:val="center" w:pos="4153"/>
        <w:tab w:val="right" w:pos="8306"/>
      </w:tabs>
      <w:snapToGrid w:val="0"/>
      <w:jc w:val="left"/>
    </w:pPr>
    <w:rPr>
      <w:sz w:val="18"/>
      <w:szCs w:val="18"/>
    </w:rPr>
  </w:style>
  <w:style w:type="paragraph" w:styleId="a7">
    <w:name w:val="header"/>
    <w:basedOn w:val="a"/>
    <w:qFormat/>
    <w:rsid w:val="00227F64"/>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227F64"/>
    <w:pPr>
      <w:widowControl/>
      <w:spacing w:before="100" w:beforeAutospacing="1" w:after="100" w:afterAutospacing="1"/>
      <w:jc w:val="left"/>
    </w:pPr>
    <w:rPr>
      <w:rFonts w:ascii="宋体" w:hAnsi="宋体" w:cs="宋体"/>
      <w:kern w:val="0"/>
      <w:sz w:val="24"/>
    </w:rPr>
  </w:style>
  <w:style w:type="character" w:styleId="a9">
    <w:name w:val="annotation reference"/>
    <w:qFormat/>
    <w:rsid w:val="00227F64"/>
    <w:rPr>
      <w:sz w:val="21"/>
      <w:szCs w:val="21"/>
    </w:rPr>
  </w:style>
  <w:style w:type="character" w:customStyle="1" w:styleId="Char0">
    <w:name w:val="批注文字 Char"/>
    <w:link w:val="a4"/>
    <w:rsid w:val="00227F64"/>
    <w:rPr>
      <w:kern w:val="2"/>
      <w:sz w:val="21"/>
      <w:szCs w:val="24"/>
    </w:rPr>
  </w:style>
  <w:style w:type="character" w:customStyle="1" w:styleId="Char">
    <w:name w:val="批注主题 Char"/>
    <w:link w:val="a3"/>
    <w:qFormat/>
    <w:rsid w:val="00227F64"/>
    <w:rPr>
      <w:b/>
      <w:bCs/>
      <w:kern w:val="2"/>
      <w:sz w:val="21"/>
      <w:szCs w:val="24"/>
    </w:rPr>
  </w:style>
  <w:style w:type="paragraph" w:customStyle="1" w:styleId="1">
    <w:name w:val="列出段落1"/>
    <w:basedOn w:val="a"/>
    <w:uiPriority w:val="34"/>
    <w:qFormat/>
    <w:rsid w:val="00227F64"/>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1B97D5-3C63-4A7B-995D-0D910440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598</Words>
  <Characters>3415</Characters>
  <Application>Microsoft Office Word</Application>
  <DocSecurity>0</DocSecurity>
  <Lines>28</Lines>
  <Paragraphs>8</Paragraphs>
  <ScaleCrop>false</ScaleCrop>
  <Company>中国会计视野</Company>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专利资产评估指导意见</dc:title>
  <dc:creator>中评协</dc:creator>
  <cp:lastModifiedBy>李雪娇</cp:lastModifiedBy>
  <cp:revision>31</cp:revision>
  <cp:lastPrinted>2017-09-12T06:32:00Z</cp:lastPrinted>
  <dcterms:created xsi:type="dcterms:W3CDTF">2017-08-24T05:54:00Z</dcterms:created>
  <dcterms:modified xsi:type="dcterms:W3CDTF">2017-09-13T08:53:00Z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