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6"/>
          <w:szCs w:val="36"/>
          <w:highlight w:val="none"/>
          <w:lang w:val="en-US" w:eastAsia="zh-CN"/>
        </w:rPr>
        <w:t>未完成机构备案的机构名单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阳春民泰资产评估有限公司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惠州广诚资产评估事务所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汕头市汕特资产评估有限公司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汕头市昊瑞资产评估有限公司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云浮益信资产评估事务所（普通合伙）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广东鹏城资产评估有限公司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湛江市衡信资产评估事务所(特殊普通合伙)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茂名市合众资产评估有限公司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广州署华资产评估有限公司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东莞市德衡资产评估有限公司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广东华控资产评估土地房地产估价有限公司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广州勤信资产评估有限公司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韶关市南沣资产评估有限公司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广州集佳资产评估有限公司</w:t>
      </w:r>
    </w:p>
    <w:p>
      <w:pP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其中：广东鹏城资产评估有限公司、湛江市衡信资产评估事务所(特殊普通合伙)尚未交回原资产评估资格证书。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7051A"/>
    <w:rsid w:val="41C723FF"/>
    <w:rsid w:val="4CB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2019-02-26T01:06:00Z</dcterms:created>
  <dc:creator>xie又又</dc:creator>
  <cp:lastModifiedBy>xie又又</cp:lastModifiedBy>
  <dcterms:modified xsi:type="dcterms:W3CDTF">2019-02-26T01:07:44Z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