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82" w:rightChars="-39"/>
        <w:jc w:val="center"/>
        <w:outlineLvl w:val="0"/>
        <w:rPr>
          <w:rFonts w:ascii="方正小标宋简体" w:eastAsia="方正小标宋简体"/>
          <w:sz w:val="44"/>
          <w:szCs w:val="44"/>
        </w:rPr>
      </w:pPr>
      <w:bookmarkStart w:id="0" w:name="_Toc534383318"/>
      <w:r>
        <w:rPr>
          <w:rFonts w:hint="eastAsia" w:ascii="方正小标宋简体" w:eastAsia="方正小标宋简体"/>
          <w:sz w:val="44"/>
          <w:szCs w:val="44"/>
        </w:rPr>
        <w:t>教育发展专项资金</w:t>
      </w:r>
      <w:r>
        <w:rPr>
          <w:rFonts w:hint="eastAsia" w:ascii="方正小标宋简体" w:eastAsia="方正小标宋简体"/>
          <w:sz w:val="44"/>
          <w:szCs w:val="44"/>
          <w:lang w:eastAsia="zh-CN"/>
        </w:rPr>
        <w:t>（强师工程）</w:t>
      </w:r>
      <w:r>
        <w:rPr>
          <w:rFonts w:hint="eastAsia" w:ascii="方正小标宋简体" w:eastAsia="方正小标宋简体"/>
          <w:sz w:val="44"/>
          <w:szCs w:val="44"/>
        </w:rPr>
        <w:t>绩效目标</w:t>
      </w:r>
      <w:bookmarkStart w:id="2" w:name="_GoBack"/>
      <w:bookmarkEnd w:id="2"/>
      <w:r>
        <w:rPr>
          <w:rFonts w:hint="eastAsia" w:ascii="方正小标宋简体" w:eastAsia="方正小标宋简体"/>
          <w:sz w:val="44"/>
          <w:szCs w:val="44"/>
        </w:rPr>
        <w:t>表</w:t>
      </w:r>
      <w:bookmarkEnd w:id="0"/>
    </w:p>
    <w:tbl>
      <w:tblPr>
        <w:tblStyle w:val="10"/>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858"/>
        <w:gridCol w:w="1559"/>
        <w:gridCol w:w="184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8229" w:type="dxa"/>
            <w:gridSpan w:val="5"/>
            <w:vAlign w:val="center"/>
          </w:tcPr>
          <w:p>
            <w:pPr>
              <w:spacing w:line="360" w:lineRule="auto"/>
              <w:jc w:val="center"/>
              <w:outlineLvl w:val="1"/>
              <w:rPr>
                <w:rFonts w:ascii="宋体" w:hAnsi="宋体" w:eastAsia="宋体"/>
                <w:sz w:val="24"/>
                <w:szCs w:val="24"/>
              </w:rPr>
            </w:pPr>
            <w:bookmarkStart w:id="1" w:name="_Toc534383319"/>
            <w:r>
              <w:rPr>
                <w:rFonts w:hint="eastAsia" w:ascii="宋体" w:hAnsi="宋体" w:eastAsia="宋体"/>
                <w:sz w:val="24"/>
                <w:szCs w:val="24"/>
              </w:rPr>
              <w:t>教育发展专项资金-强师工程-市县教师队伍建设</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省级业务主管部门</w:t>
            </w:r>
          </w:p>
        </w:tc>
        <w:tc>
          <w:tcPr>
            <w:tcW w:w="4260"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广东省教育厅</w:t>
            </w:r>
          </w:p>
        </w:tc>
        <w:tc>
          <w:tcPr>
            <w:tcW w:w="198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申报单位</w:t>
            </w:r>
          </w:p>
        </w:tc>
        <w:tc>
          <w:tcPr>
            <w:tcW w:w="198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项目申报属性</w:t>
            </w:r>
          </w:p>
        </w:tc>
        <w:tc>
          <w:tcPr>
            <w:tcW w:w="241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新增安排</w:t>
            </w:r>
          </w:p>
        </w:tc>
        <w:tc>
          <w:tcPr>
            <w:tcW w:w="18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项目类型</w:t>
            </w:r>
          </w:p>
        </w:tc>
        <w:tc>
          <w:tcPr>
            <w:tcW w:w="396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项目实施周期</w:t>
            </w:r>
          </w:p>
        </w:tc>
        <w:tc>
          <w:tcPr>
            <w:tcW w:w="8229" w:type="dxa"/>
            <w:gridSpan w:val="5"/>
            <w:vAlign w:val="center"/>
          </w:tcPr>
          <w:p>
            <w:pPr>
              <w:spacing w:line="360" w:lineRule="auto"/>
              <w:jc w:val="center"/>
              <w:rPr>
                <w:rFonts w:ascii="宋体" w:hAnsi="宋体" w:eastAsia="宋体"/>
                <w:sz w:val="24"/>
                <w:szCs w:val="24"/>
              </w:rPr>
            </w:pPr>
            <w:r>
              <w:rPr>
                <w:rFonts w:hint="eastAsia" w:ascii="宋体" w:hAnsi="宋体" w:eastAsia="宋体"/>
                <w:sz w:val="24"/>
                <w:szCs w:val="24"/>
              </w:rPr>
              <w:t>（2019）年-（2021）年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资金需求</w:t>
            </w:r>
            <w:r>
              <w:rPr>
                <w:rFonts w:hint="eastAsia" w:ascii="宋体" w:hAnsi="宋体" w:eastAsia="宋体"/>
                <w:sz w:val="24"/>
                <w:szCs w:val="24"/>
              </w:rPr>
              <w:br w:type="textWrapping"/>
            </w:r>
            <w:r>
              <w:rPr>
                <w:rFonts w:hint="eastAsia" w:ascii="宋体" w:hAnsi="宋体" w:eastAsia="宋体"/>
                <w:sz w:val="24"/>
                <w:szCs w:val="24"/>
              </w:rPr>
              <w:t>（万元）</w:t>
            </w:r>
          </w:p>
        </w:tc>
        <w:tc>
          <w:tcPr>
            <w:tcW w:w="241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总金额</w:t>
            </w:r>
          </w:p>
        </w:tc>
        <w:tc>
          <w:tcPr>
            <w:tcW w:w="5812"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54</w:t>
            </w:r>
            <w:r>
              <w:rPr>
                <w:rFonts w:ascii="宋体" w:hAnsi="宋体" w:eastAsia="宋体"/>
                <w:sz w:val="24"/>
                <w:szCs w:val="24"/>
              </w:rPr>
              <w:t>,</w:t>
            </w:r>
            <w:r>
              <w:rPr>
                <w:rFonts w:hint="eastAsia" w:ascii="宋体" w:hAnsi="宋体" w:eastAsia="宋体"/>
                <w:sz w:val="24"/>
                <w:szCs w:val="24"/>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60" w:lineRule="auto"/>
              <w:jc w:val="center"/>
              <w:rPr>
                <w:rFonts w:ascii="宋体" w:hAnsi="宋体" w:eastAsia="宋体"/>
                <w:sz w:val="24"/>
                <w:szCs w:val="24"/>
              </w:rPr>
            </w:pPr>
          </w:p>
        </w:tc>
        <w:tc>
          <w:tcPr>
            <w:tcW w:w="241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其中：2019年金额</w:t>
            </w:r>
          </w:p>
        </w:tc>
        <w:tc>
          <w:tcPr>
            <w:tcW w:w="5812"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18</w:t>
            </w:r>
            <w:r>
              <w:rPr>
                <w:rFonts w:ascii="宋体" w:hAnsi="宋体" w:eastAsia="宋体"/>
                <w:sz w:val="24"/>
                <w:szCs w:val="24"/>
              </w:rPr>
              <w:t>,</w:t>
            </w:r>
            <w:r>
              <w:rPr>
                <w:rFonts w:hint="eastAsia" w:ascii="宋体" w:hAnsi="宋体" w:eastAsia="宋体"/>
                <w:sz w:val="24"/>
                <w:szCs w:val="24"/>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支出内容</w:t>
            </w:r>
          </w:p>
        </w:tc>
        <w:tc>
          <w:tcPr>
            <w:tcW w:w="8229" w:type="dxa"/>
            <w:gridSpan w:val="5"/>
            <w:vAlign w:val="center"/>
          </w:tcPr>
          <w:p>
            <w:pPr>
              <w:spacing w:line="360" w:lineRule="auto"/>
              <w:jc w:val="center"/>
              <w:rPr>
                <w:rFonts w:ascii="宋体" w:hAnsi="宋体" w:eastAsia="宋体"/>
                <w:sz w:val="24"/>
                <w:szCs w:val="24"/>
              </w:rPr>
            </w:pPr>
            <w:r>
              <w:rPr>
                <w:rFonts w:hint="eastAsia" w:ascii="宋体" w:hAnsi="宋体" w:eastAsia="宋体"/>
                <w:sz w:val="24"/>
                <w:szCs w:val="24"/>
              </w:rPr>
              <w:t>用于支持市、县两级政府加强教师队伍建设。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政策依据</w:t>
            </w:r>
          </w:p>
        </w:tc>
        <w:tc>
          <w:tcPr>
            <w:tcW w:w="8229" w:type="dxa"/>
            <w:gridSpan w:val="5"/>
            <w:vAlign w:val="center"/>
          </w:tcPr>
          <w:p>
            <w:pPr>
              <w:spacing w:line="336" w:lineRule="auto"/>
              <w:jc w:val="left"/>
              <w:rPr>
                <w:rFonts w:ascii="宋体" w:hAnsi="宋体" w:eastAsia="宋体"/>
                <w:sz w:val="24"/>
                <w:szCs w:val="24"/>
              </w:rPr>
            </w:pPr>
            <w:r>
              <w:rPr>
                <w:rFonts w:hint="eastAsia" w:ascii="宋体" w:hAnsi="宋体" w:eastAsia="宋体"/>
                <w:sz w:val="24"/>
                <w:szCs w:val="24"/>
              </w:rPr>
              <w:t>1.《关于全面深化新时代教师队伍建设改革的意见》（中发[2018]4号）；</w:t>
            </w:r>
          </w:p>
          <w:p>
            <w:pPr>
              <w:spacing w:line="336" w:lineRule="auto"/>
              <w:jc w:val="left"/>
              <w:rPr>
                <w:rFonts w:ascii="宋体" w:hAnsi="宋体" w:eastAsia="宋体"/>
                <w:sz w:val="24"/>
                <w:szCs w:val="24"/>
              </w:rPr>
            </w:pPr>
            <w:r>
              <w:rPr>
                <w:rFonts w:hint="eastAsia" w:ascii="宋体" w:hAnsi="宋体" w:eastAsia="宋体"/>
                <w:sz w:val="24"/>
                <w:szCs w:val="24"/>
              </w:rPr>
              <w:t>2.《教育部等五部门关于印发〈教师教育振兴行动计划（2018－2022年）〉的通知》（教师〔2018〕2号）；</w:t>
            </w:r>
          </w:p>
          <w:p>
            <w:pPr>
              <w:spacing w:line="336" w:lineRule="auto"/>
              <w:jc w:val="left"/>
              <w:rPr>
                <w:rFonts w:ascii="宋体" w:hAnsi="宋体" w:eastAsia="宋体"/>
                <w:sz w:val="24"/>
                <w:szCs w:val="24"/>
              </w:rPr>
            </w:pPr>
            <w:r>
              <w:rPr>
                <w:rFonts w:hint="eastAsia" w:ascii="宋体" w:hAnsi="宋体" w:eastAsia="宋体"/>
                <w:sz w:val="24"/>
                <w:szCs w:val="24"/>
              </w:rPr>
              <w:t>3.《中共广东省委广东省人民政府关于全面深化新时代教师队伍建设改革的实施意见》（粤发[2018]25号）；</w:t>
            </w:r>
          </w:p>
          <w:p>
            <w:pPr>
              <w:spacing w:line="336" w:lineRule="auto"/>
              <w:jc w:val="left"/>
              <w:rPr>
                <w:rFonts w:ascii="宋体" w:hAnsi="宋体" w:eastAsia="宋体"/>
                <w:sz w:val="24"/>
                <w:szCs w:val="24"/>
              </w:rPr>
            </w:pPr>
            <w:r>
              <w:rPr>
                <w:rFonts w:hint="eastAsia" w:ascii="宋体" w:hAnsi="宋体" w:eastAsia="宋体"/>
                <w:sz w:val="24"/>
                <w:szCs w:val="24"/>
              </w:rPr>
              <w:t>4.《广东省乡村教师支持计划实施办法（2015-2020年）》（粤府办〔2016〕3号）；</w:t>
            </w:r>
          </w:p>
          <w:p>
            <w:pPr>
              <w:spacing w:line="336" w:lineRule="auto"/>
              <w:jc w:val="left"/>
              <w:rPr>
                <w:rFonts w:ascii="宋体" w:hAnsi="宋体" w:eastAsia="宋体"/>
                <w:sz w:val="24"/>
                <w:szCs w:val="24"/>
              </w:rPr>
            </w:pPr>
            <w:r>
              <w:rPr>
                <w:rFonts w:hint="eastAsia" w:ascii="宋体" w:hAnsi="宋体" w:eastAsia="宋体"/>
                <w:sz w:val="24"/>
                <w:szCs w:val="24"/>
              </w:rPr>
              <w:t>5.《广东省教师队伍建设“十三五”规划》（粤教师〔2017〕7号）；</w:t>
            </w:r>
          </w:p>
          <w:p>
            <w:pPr>
              <w:spacing w:line="336" w:lineRule="auto"/>
              <w:jc w:val="left"/>
              <w:rPr>
                <w:rFonts w:ascii="宋体" w:hAnsi="宋体" w:eastAsia="宋体"/>
                <w:sz w:val="24"/>
                <w:szCs w:val="24"/>
              </w:rPr>
            </w:pPr>
            <w:r>
              <w:rPr>
                <w:rFonts w:hint="eastAsia" w:ascii="宋体" w:hAnsi="宋体" w:eastAsia="宋体"/>
                <w:sz w:val="24"/>
                <w:szCs w:val="24"/>
              </w:rPr>
              <w:t>6.《广东省“强师工程”实施方案（2017—2020年）》（粤教师〔2017〕8号）；</w:t>
            </w:r>
          </w:p>
          <w:p>
            <w:pPr>
              <w:spacing w:line="336" w:lineRule="auto"/>
              <w:jc w:val="left"/>
              <w:rPr>
                <w:rFonts w:ascii="宋体" w:hAnsi="宋体" w:eastAsia="宋体"/>
                <w:sz w:val="24"/>
                <w:szCs w:val="24"/>
              </w:rPr>
            </w:pPr>
            <w:r>
              <w:rPr>
                <w:rFonts w:hint="eastAsia" w:ascii="宋体" w:hAnsi="宋体" w:eastAsia="宋体"/>
                <w:sz w:val="24"/>
                <w:szCs w:val="24"/>
              </w:rPr>
              <w:t>7.《广东省教育厅关于加强“十三五”广东省中小学教师培训工作的意见》（粤教继函[2017]27号）。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总体绩效目标</w:t>
            </w:r>
            <w:r>
              <w:rPr>
                <w:rFonts w:hint="eastAsia" w:ascii="宋体" w:hAnsi="宋体" w:eastAsia="宋体"/>
                <w:sz w:val="24"/>
                <w:szCs w:val="24"/>
              </w:rPr>
              <w:br w:type="textWrapping"/>
            </w:r>
            <w:r>
              <w:rPr>
                <w:rFonts w:hint="eastAsia" w:ascii="宋体" w:hAnsi="宋体" w:eastAsia="宋体"/>
                <w:sz w:val="24"/>
                <w:szCs w:val="24"/>
              </w:rPr>
              <w:t>（概述）</w:t>
            </w:r>
          </w:p>
        </w:tc>
        <w:tc>
          <w:tcPr>
            <w:tcW w:w="4260" w:type="dxa"/>
            <w:gridSpan w:val="3"/>
            <w:vAlign w:val="center"/>
          </w:tcPr>
          <w:p>
            <w:pPr>
              <w:spacing w:line="336" w:lineRule="auto"/>
              <w:jc w:val="center"/>
              <w:rPr>
                <w:rFonts w:ascii="宋体" w:hAnsi="宋体" w:eastAsia="宋体"/>
                <w:sz w:val="24"/>
                <w:szCs w:val="24"/>
              </w:rPr>
            </w:pPr>
            <w:r>
              <w:rPr>
                <w:rFonts w:hint="eastAsia" w:ascii="宋体" w:hAnsi="宋体" w:eastAsia="宋体"/>
                <w:sz w:val="24"/>
                <w:szCs w:val="24"/>
              </w:rPr>
              <w:t>当年度绩效目标</w:t>
            </w:r>
          </w:p>
        </w:tc>
        <w:tc>
          <w:tcPr>
            <w:tcW w:w="3969" w:type="dxa"/>
            <w:gridSpan w:val="2"/>
            <w:vAlign w:val="center"/>
          </w:tcPr>
          <w:p>
            <w:pPr>
              <w:spacing w:line="336" w:lineRule="auto"/>
              <w:jc w:val="center"/>
              <w:rPr>
                <w:rFonts w:ascii="宋体" w:hAnsi="宋体" w:eastAsia="宋体"/>
                <w:sz w:val="24"/>
                <w:szCs w:val="24"/>
              </w:rPr>
            </w:pPr>
            <w:r>
              <w:rPr>
                <w:rFonts w:hint="eastAsia" w:ascii="宋体" w:hAnsi="宋体" w:eastAsia="宋体"/>
                <w:sz w:val="24"/>
                <w:szCs w:val="24"/>
              </w:rPr>
              <w:t>实施周期绩效目标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60" w:lineRule="auto"/>
              <w:jc w:val="center"/>
              <w:rPr>
                <w:rFonts w:ascii="宋体" w:hAnsi="宋体" w:eastAsia="宋体"/>
                <w:sz w:val="24"/>
                <w:szCs w:val="24"/>
              </w:rPr>
            </w:pPr>
          </w:p>
        </w:tc>
        <w:tc>
          <w:tcPr>
            <w:tcW w:w="4260" w:type="dxa"/>
            <w:gridSpan w:val="3"/>
            <w:vAlign w:val="center"/>
          </w:tcPr>
          <w:p>
            <w:pPr>
              <w:spacing w:line="336" w:lineRule="auto"/>
              <w:jc w:val="left"/>
              <w:rPr>
                <w:rFonts w:ascii="宋体" w:hAnsi="宋体" w:eastAsia="宋体"/>
                <w:sz w:val="24"/>
                <w:szCs w:val="24"/>
              </w:rPr>
            </w:pPr>
            <w:r>
              <w:rPr>
                <w:rFonts w:hint="eastAsia" w:ascii="宋体" w:hAnsi="宋体" w:eastAsia="宋体"/>
                <w:sz w:val="24"/>
                <w:szCs w:val="24"/>
              </w:rPr>
              <w:t>1．年度义务教育阶段专任教师交流占专任教师总数5%以上</w:t>
            </w:r>
          </w:p>
          <w:p>
            <w:pPr>
              <w:spacing w:line="336" w:lineRule="auto"/>
              <w:jc w:val="left"/>
              <w:rPr>
                <w:rFonts w:ascii="宋体" w:hAnsi="宋体" w:eastAsia="宋体"/>
                <w:sz w:val="24"/>
                <w:szCs w:val="24"/>
              </w:rPr>
            </w:pPr>
            <w:r>
              <w:rPr>
                <w:rFonts w:hint="eastAsia" w:ascii="宋体" w:hAnsi="宋体" w:eastAsia="宋体"/>
                <w:sz w:val="24"/>
                <w:szCs w:val="24"/>
              </w:rPr>
              <w:t>2．年度完成占比10%骨干教师培养3．年度专任教师全员培训完成达80%</w:t>
            </w:r>
            <w:r>
              <w:rPr>
                <w:rFonts w:hint="eastAsia" w:ascii="宋体" w:hAnsi="宋体" w:eastAsia="宋体"/>
                <w:sz w:val="24"/>
                <w:szCs w:val="24"/>
              </w:rPr>
              <w:br w:type="textWrapping"/>
            </w:r>
            <w:r>
              <w:rPr>
                <w:rFonts w:hint="eastAsia" w:ascii="宋体" w:hAnsi="宋体" w:eastAsia="宋体"/>
                <w:sz w:val="24"/>
                <w:szCs w:val="24"/>
              </w:rPr>
              <w:t>4．全省本年度幼儿园专任教师大专及以上学历占比达75%，或比上一年度高2个百分点；小学专任教师本科及以上学历占比达55%，或比上一年度高2个百分点；初中专任教师本科及以上学历教师占比达95%，或比上一年度高2个百分点；高中阶段专任教师研究生学历（硕士学位）占比达15%，或比上一年度高2个百分点</w:t>
            </w:r>
          </w:p>
          <w:p>
            <w:pPr>
              <w:spacing w:line="336" w:lineRule="auto"/>
              <w:jc w:val="left"/>
              <w:rPr>
                <w:rFonts w:ascii="宋体" w:hAnsi="宋体" w:eastAsia="宋体"/>
                <w:sz w:val="24"/>
                <w:szCs w:val="24"/>
              </w:rPr>
            </w:pPr>
            <w:r>
              <w:rPr>
                <w:rFonts w:hint="eastAsia" w:ascii="宋体" w:hAnsi="宋体" w:eastAsia="宋体"/>
                <w:sz w:val="24"/>
                <w:szCs w:val="24"/>
              </w:rPr>
              <w:t>5．中职专业课教师“双师型”教师占比达60%。</w:t>
            </w:r>
          </w:p>
        </w:tc>
        <w:tc>
          <w:tcPr>
            <w:tcW w:w="3969" w:type="dxa"/>
            <w:gridSpan w:val="2"/>
            <w:vAlign w:val="center"/>
          </w:tcPr>
          <w:p>
            <w:pPr>
              <w:spacing w:line="336" w:lineRule="auto"/>
              <w:ind w:firstLine="480" w:firstLineChars="200"/>
              <w:jc w:val="left"/>
              <w:rPr>
                <w:rFonts w:ascii="宋体" w:hAnsi="宋体" w:eastAsia="宋体"/>
                <w:sz w:val="24"/>
                <w:szCs w:val="24"/>
              </w:rPr>
            </w:pPr>
            <w:r>
              <w:rPr>
                <w:rFonts w:hint="eastAsia" w:ascii="宋体" w:hAnsi="宋体" w:eastAsia="宋体"/>
                <w:sz w:val="24"/>
                <w:szCs w:val="24"/>
              </w:rPr>
              <w:t>到2021年，建立完善省、市、县、校四级中小学教师专业发展服务支撑体系，分类、分层、分级有针对性组织开展教师培训项目，满足不同层次不同类别教师的专业发展需求。广大教师普遍具有尚师德品行、先进教育理念、扎实专业知识、较强的教育教学能力、教科研创新能力和服务社会能力，形成一支引领教育现代化发展的高素质专业化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绩效指标</w:t>
            </w:r>
          </w:p>
        </w:tc>
        <w:tc>
          <w:tcPr>
            <w:tcW w:w="858"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一级</w:t>
            </w:r>
            <w:r>
              <w:rPr>
                <w:rFonts w:hint="eastAsia" w:ascii="宋体" w:hAnsi="宋体" w:eastAsia="宋体"/>
                <w:sz w:val="24"/>
                <w:szCs w:val="24"/>
              </w:rPr>
              <w:br w:type="textWrapping"/>
            </w:r>
            <w:r>
              <w:rPr>
                <w:rFonts w:hint="eastAsia" w:ascii="宋体" w:hAnsi="宋体" w:eastAsia="宋体"/>
                <w:sz w:val="24"/>
                <w:szCs w:val="24"/>
              </w:rPr>
              <w:t>指标</w:t>
            </w:r>
          </w:p>
        </w:tc>
        <w:tc>
          <w:tcPr>
            <w:tcW w:w="1559"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二级指标</w:t>
            </w: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三级指标</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三级指标目标值</w:t>
            </w:r>
            <w:r>
              <w:rPr>
                <w:rFonts w:hint="eastAsia" w:ascii="宋体" w:hAnsi="宋体" w:eastAsia="宋体"/>
                <w:sz w:val="24"/>
                <w:szCs w:val="24"/>
              </w:rPr>
              <w:br w:type="textWrapping"/>
            </w:r>
            <w:r>
              <w:rPr>
                <w:rFonts w:hint="eastAsia" w:ascii="宋体" w:hAnsi="宋体" w:eastAsia="宋体"/>
                <w:sz w:val="24"/>
                <w:szCs w:val="24"/>
              </w:rPr>
              <w:t>（当年度）</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三级指标目标值</w:t>
            </w:r>
            <w:r>
              <w:rPr>
                <w:rFonts w:hint="eastAsia" w:ascii="宋体" w:hAnsi="宋体" w:eastAsia="宋体"/>
                <w:sz w:val="24"/>
                <w:szCs w:val="24"/>
              </w:rPr>
              <w:br w:type="textWrapping"/>
            </w:r>
            <w:r>
              <w:rPr>
                <w:rFonts w:hint="eastAsia" w:ascii="宋体" w:hAnsi="宋体" w:eastAsia="宋体"/>
                <w:sz w:val="24"/>
                <w:szCs w:val="24"/>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restart"/>
            <w:vAlign w:val="center"/>
          </w:tcPr>
          <w:p>
            <w:pPr>
              <w:spacing w:line="336" w:lineRule="auto"/>
              <w:jc w:val="center"/>
              <w:rPr>
                <w:rFonts w:ascii="宋体" w:hAnsi="宋体" w:eastAsia="宋体"/>
                <w:sz w:val="24"/>
                <w:szCs w:val="24"/>
              </w:rPr>
            </w:pPr>
            <w:r>
              <w:rPr>
                <w:rFonts w:hint="eastAsia" w:ascii="宋体" w:hAnsi="宋体" w:eastAsia="宋体"/>
                <w:sz w:val="24"/>
                <w:szCs w:val="24"/>
              </w:rPr>
              <w:t>　</w:t>
            </w:r>
          </w:p>
        </w:tc>
        <w:tc>
          <w:tcPr>
            <w:tcW w:w="858" w:type="dxa"/>
            <w:vMerge w:val="restart"/>
            <w:vAlign w:val="center"/>
          </w:tcPr>
          <w:p>
            <w:pPr>
              <w:spacing w:line="336" w:lineRule="auto"/>
              <w:jc w:val="center"/>
              <w:rPr>
                <w:rFonts w:ascii="宋体" w:hAnsi="宋体" w:eastAsia="宋体"/>
                <w:sz w:val="24"/>
                <w:szCs w:val="24"/>
              </w:rPr>
            </w:pPr>
            <w:r>
              <w:rPr>
                <w:rFonts w:hint="eastAsia" w:ascii="宋体" w:hAnsi="宋体" w:eastAsia="宋体"/>
                <w:sz w:val="24"/>
                <w:szCs w:val="24"/>
              </w:rPr>
              <w:t>产出</w:t>
            </w:r>
          </w:p>
        </w:tc>
        <w:tc>
          <w:tcPr>
            <w:tcW w:w="1559" w:type="dxa"/>
            <w:vMerge w:val="restart"/>
            <w:vAlign w:val="center"/>
          </w:tcPr>
          <w:p>
            <w:pPr>
              <w:spacing w:line="336" w:lineRule="auto"/>
              <w:jc w:val="center"/>
              <w:rPr>
                <w:rFonts w:ascii="宋体" w:hAnsi="宋体" w:eastAsia="宋体"/>
                <w:sz w:val="24"/>
                <w:szCs w:val="24"/>
              </w:rPr>
            </w:pPr>
            <w:r>
              <w:rPr>
                <w:rFonts w:hint="eastAsia" w:ascii="宋体" w:hAnsi="宋体" w:eastAsia="宋体"/>
                <w:sz w:val="24"/>
                <w:szCs w:val="24"/>
              </w:rPr>
              <w:t>数量指标</w:t>
            </w: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生师比（%）</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小学：19：1 初中：13.5：1 高中：12.5：1</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小学：19：1 初中：13.5：1 高中：12.5：1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36" w:lineRule="auto"/>
              <w:jc w:val="center"/>
              <w:rPr>
                <w:rFonts w:ascii="宋体" w:hAnsi="宋体" w:eastAsia="宋体"/>
                <w:sz w:val="24"/>
                <w:szCs w:val="24"/>
              </w:rPr>
            </w:pPr>
          </w:p>
        </w:tc>
        <w:tc>
          <w:tcPr>
            <w:tcW w:w="858" w:type="dxa"/>
            <w:vMerge w:val="continue"/>
            <w:vAlign w:val="center"/>
          </w:tcPr>
          <w:p>
            <w:pPr>
              <w:spacing w:line="336" w:lineRule="auto"/>
              <w:jc w:val="center"/>
              <w:rPr>
                <w:rFonts w:ascii="宋体" w:hAnsi="宋体" w:eastAsia="宋体"/>
                <w:sz w:val="24"/>
                <w:szCs w:val="24"/>
              </w:rPr>
            </w:pPr>
          </w:p>
        </w:tc>
        <w:tc>
          <w:tcPr>
            <w:tcW w:w="1559" w:type="dxa"/>
            <w:vMerge w:val="continue"/>
            <w:vAlign w:val="center"/>
          </w:tcPr>
          <w:p>
            <w:pPr>
              <w:spacing w:line="336" w:lineRule="auto"/>
              <w:jc w:val="center"/>
              <w:rPr>
                <w:rFonts w:ascii="宋体" w:hAnsi="宋体" w:eastAsia="宋体"/>
                <w:sz w:val="24"/>
                <w:szCs w:val="24"/>
              </w:rPr>
            </w:pP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培训完成率（%）</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80%</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36" w:lineRule="auto"/>
              <w:jc w:val="center"/>
              <w:rPr>
                <w:rFonts w:ascii="宋体" w:hAnsi="宋体" w:eastAsia="宋体"/>
                <w:sz w:val="24"/>
                <w:szCs w:val="24"/>
              </w:rPr>
            </w:pPr>
          </w:p>
        </w:tc>
        <w:tc>
          <w:tcPr>
            <w:tcW w:w="858" w:type="dxa"/>
            <w:vMerge w:val="restart"/>
            <w:vAlign w:val="center"/>
          </w:tcPr>
          <w:p>
            <w:pPr>
              <w:spacing w:line="336" w:lineRule="auto"/>
              <w:jc w:val="center"/>
              <w:rPr>
                <w:rFonts w:ascii="宋体" w:hAnsi="宋体" w:eastAsia="宋体"/>
                <w:sz w:val="24"/>
                <w:szCs w:val="24"/>
              </w:rPr>
            </w:pPr>
            <w:r>
              <w:rPr>
                <w:rFonts w:hint="eastAsia" w:ascii="宋体" w:hAnsi="宋体" w:eastAsia="宋体"/>
                <w:sz w:val="24"/>
                <w:szCs w:val="24"/>
              </w:rPr>
              <w:t>效益</w:t>
            </w:r>
          </w:p>
        </w:tc>
        <w:tc>
          <w:tcPr>
            <w:tcW w:w="1559" w:type="dxa"/>
            <w:vMerge w:val="restart"/>
            <w:vAlign w:val="center"/>
          </w:tcPr>
          <w:p>
            <w:pPr>
              <w:spacing w:line="336" w:lineRule="auto"/>
              <w:jc w:val="center"/>
              <w:rPr>
                <w:rFonts w:ascii="宋体" w:hAnsi="宋体" w:eastAsia="宋体"/>
                <w:sz w:val="24"/>
                <w:szCs w:val="24"/>
              </w:rPr>
            </w:pPr>
            <w:r>
              <w:rPr>
                <w:rFonts w:hint="eastAsia" w:ascii="宋体" w:hAnsi="宋体" w:eastAsia="宋体"/>
                <w:sz w:val="24"/>
                <w:szCs w:val="24"/>
              </w:rPr>
              <w:t>社会效益指标</w:t>
            </w: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专任教师合格率（%）</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95%</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36" w:lineRule="auto"/>
              <w:jc w:val="center"/>
              <w:rPr>
                <w:rFonts w:ascii="宋体" w:hAnsi="宋体" w:eastAsia="宋体"/>
                <w:sz w:val="24"/>
                <w:szCs w:val="24"/>
              </w:rPr>
            </w:pPr>
          </w:p>
        </w:tc>
        <w:tc>
          <w:tcPr>
            <w:tcW w:w="858" w:type="dxa"/>
            <w:vMerge w:val="continue"/>
            <w:vAlign w:val="center"/>
          </w:tcPr>
          <w:p>
            <w:pPr>
              <w:spacing w:line="336" w:lineRule="auto"/>
              <w:jc w:val="center"/>
              <w:rPr>
                <w:rFonts w:ascii="宋体" w:hAnsi="宋体" w:eastAsia="宋体"/>
                <w:sz w:val="24"/>
                <w:szCs w:val="24"/>
              </w:rPr>
            </w:pPr>
          </w:p>
        </w:tc>
        <w:tc>
          <w:tcPr>
            <w:tcW w:w="1559" w:type="dxa"/>
            <w:vMerge w:val="continue"/>
            <w:vAlign w:val="center"/>
          </w:tcPr>
          <w:p>
            <w:pPr>
              <w:spacing w:line="336" w:lineRule="auto"/>
              <w:jc w:val="center"/>
              <w:rPr>
                <w:rFonts w:ascii="宋体" w:hAnsi="宋体" w:eastAsia="宋体"/>
                <w:sz w:val="24"/>
                <w:szCs w:val="24"/>
              </w:rPr>
            </w:pP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双师型教师占比（%）</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60%</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Merge w:val="continue"/>
            <w:vAlign w:val="center"/>
          </w:tcPr>
          <w:p>
            <w:pPr>
              <w:spacing w:line="336" w:lineRule="auto"/>
              <w:jc w:val="center"/>
              <w:rPr>
                <w:rFonts w:ascii="宋体" w:hAnsi="宋体" w:eastAsia="宋体"/>
                <w:sz w:val="24"/>
                <w:szCs w:val="24"/>
              </w:rPr>
            </w:pPr>
          </w:p>
        </w:tc>
        <w:tc>
          <w:tcPr>
            <w:tcW w:w="858" w:type="dxa"/>
            <w:vMerge w:val="continue"/>
            <w:vAlign w:val="center"/>
          </w:tcPr>
          <w:p>
            <w:pPr>
              <w:spacing w:line="336" w:lineRule="auto"/>
              <w:jc w:val="center"/>
              <w:rPr>
                <w:rFonts w:ascii="宋体" w:hAnsi="宋体" w:eastAsia="宋体"/>
                <w:sz w:val="24"/>
                <w:szCs w:val="24"/>
              </w:rPr>
            </w:pPr>
          </w:p>
        </w:tc>
        <w:tc>
          <w:tcPr>
            <w:tcW w:w="1559"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可持续影响指标</w:t>
            </w: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区域内义务教育阶段教师交流占比（%）</w:t>
            </w:r>
          </w:p>
        </w:tc>
        <w:tc>
          <w:tcPr>
            <w:tcW w:w="1984"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5%</w:t>
            </w:r>
          </w:p>
        </w:tc>
        <w:tc>
          <w:tcPr>
            <w:tcW w:w="1985"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9"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项目负责人</w:t>
            </w:r>
          </w:p>
        </w:tc>
        <w:tc>
          <w:tcPr>
            <w:tcW w:w="2417" w:type="dxa"/>
            <w:gridSpan w:val="2"/>
            <w:vAlign w:val="center"/>
          </w:tcPr>
          <w:p>
            <w:pPr>
              <w:spacing w:line="336" w:lineRule="auto"/>
              <w:jc w:val="center"/>
              <w:rPr>
                <w:rFonts w:ascii="宋体" w:hAnsi="宋体" w:eastAsia="宋体"/>
                <w:sz w:val="24"/>
                <w:szCs w:val="24"/>
              </w:rPr>
            </w:pPr>
            <w:r>
              <w:rPr>
                <w:rFonts w:hint="eastAsia" w:ascii="宋体" w:hAnsi="宋体" w:eastAsia="宋体"/>
                <w:sz w:val="24"/>
                <w:szCs w:val="24"/>
              </w:rPr>
              <w:t>傅湘龙</w:t>
            </w:r>
          </w:p>
        </w:tc>
        <w:tc>
          <w:tcPr>
            <w:tcW w:w="1843" w:type="dxa"/>
            <w:vAlign w:val="center"/>
          </w:tcPr>
          <w:p>
            <w:pPr>
              <w:spacing w:line="336" w:lineRule="auto"/>
              <w:jc w:val="center"/>
              <w:rPr>
                <w:rFonts w:ascii="宋体" w:hAnsi="宋体" w:eastAsia="宋体"/>
                <w:sz w:val="24"/>
                <w:szCs w:val="24"/>
              </w:rPr>
            </w:pPr>
            <w:r>
              <w:rPr>
                <w:rFonts w:hint="eastAsia" w:ascii="宋体" w:hAnsi="宋体" w:eastAsia="宋体"/>
                <w:sz w:val="24"/>
                <w:szCs w:val="24"/>
              </w:rPr>
              <w:t>联系电话</w:t>
            </w:r>
          </w:p>
        </w:tc>
        <w:tc>
          <w:tcPr>
            <w:tcW w:w="3969" w:type="dxa"/>
            <w:gridSpan w:val="2"/>
            <w:vAlign w:val="center"/>
          </w:tcPr>
          <w:p>
            <w:pPr>
              <w:spacing w:line="336" w:lineRule="auto"/>
              <w:jc w:val="center"/>
              <w:rPr>
                <w:rFonts w:ascii="宋体" w:hAnsi="宋体" w:eastAsia="宋体"/>
                <w:sz w:val="24"/>
                <w:szCs w:val="24"/>
              </w:rPr>
            </w:pPr>
            <w:r>
              <w:rPr>
                <w:rFonts w:ascii="宋体" w:hAnsi="宋体" w:eastAsia="宋体"/>
                <w:sz w:val="24"/>
                <w:szCs w:val="24"/>
              </w:rPr>
              <w:t>37627182</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15"/>
    <w:rsid w:val="0002161B"/>
    <w:rsid w:val="00065396"/>
    <w:rsid w:val="001642B8"/>
    <w:rsid w:val="00264CDF"/>
    <w:rsid w:val="003453CB"/>
    <w:rsid w:val="003B7AEB"/>
    <w:rsid w:val="003E1BB7"/>
    <w:rsid w:val="0049175D"/>
    <w:rsid w:val="004A1921"/>
    <w:rsid w:val="004A2A09"/>
    <w:rsid w:val="004C36F1"/>
    <w:rsid w:val="004F17B1"/>
    <w:rsid w:val="00503756"/>
    <w:rsid w:val="00532F47"/>
    <w:rsid w:val="005A428F"/>
    <w:rsid w:val="00610424"/>
    <w:rsid w:val="006134BF"/>
    <w:rsid w:val="006B44B1"/>
    <w:rsid w:val="00702F83"/>
    <w:rsid w:val="00707625"/>
    <w:rsid w:val="00710148"/>
    <w:rsid w:val="007C70D3"/>
    <w:rsid w:val="00871CF5"/>
    <w:rsid w:val="008D6D3E"/>
    <w:rsid w:val="00932EC6"/>
    <w:rsid w:val="00B85772"/>
    <w:rsid w:val="00C03CC4"/>
    <w:rsid w:val="00C11315"/>
    <w:rsid w:val="00C949D8"/>
    <w:rsid w:val="00D0576C"/>
    <w:rsid w:val="00D420B0"/>
    <w:rsid w:val="00DC4F2F"/>
    <w:rsid w:val="00E01914"/>
    <w:rsid w:val="00E63555"/>
    <w:rsid w:val="00ED7AF2"/>
    <w:rsid w:val="00EE4E7F"/>
    <w:rsid w:val="00F2747B"/>
    <w:rsid w:val="00F7483E"/>
    <w:rsid w:val="00FB0896"/>
    <w:rsid w:val="16DA1EC0"/>
    <w:rsid w:val="438623DB"/>
    <w:rsid w:val="5A97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paragraph" w:styleId="6">
    <w:name w:val="toc 2"/>
    <w:basedOn w:val="1"/>
    <w:next w:val="1"/>
    <w:unhideWhenUsed/>
    <w:qFormat/>
    <w:uiPriority w:val="39"/>
    <w:pPr>
      <w:tabs>
        <w:tab w:val="right" w:leader="dot" w:pos="8947"/>
      </w:tabs>
      <w:spacing w:line="360" w:lineRule="auto"/>
    </w:pPr>
    <w:rPr>
      <w:rFonts w:ascii="仿宋_GB2312" w:hAnsi="黑体" w:eastAsia="仿宋_GB2312"/>
      <w:sz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1 字符"/>
    <w:basedOn w:val="7"/>
    <w:link w:val="2"/>
    <w:qFormat/>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F43C2-BC18-4F26-9FE1-7C14A768141E}">
  <ds:schemaRefs/>
</ds:datastoreItem>
</file>

<file path=docProps/app.xml><?xml version="1.0" encoding="utf-8"?>
<Properties xmlns="http://schemas.openxmlformats.org/officeDocument/2006/extended-properties" xmlns:vt="http://schemas.openxmlformats.org/officeDocument/2006/docPropsVTypes">
  <Template>Normal</Template>
  <Pages>2</Pages>
  <Words>185</Words>
  <Characters>1060</Characters>
  <Lines>8</Lines>
  <Paragraphs>2</Paragraphs>
  <ScaleCrop>false</ScaleCrop>
  <LinksUpToDate>false</LinksUpToDate>
  <CharactersWithSpaces>1243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2018-12-27T03:45:00Z</dcterms:created>
  <dc:creator>DL SHI</dc:creator>
  <cp:lastModifiedBy>姚晓龙</cp:lastModifiedBy>
  <dcterms:modified xsi:type="dcterms:W3CDTF">2019-03-28T03:52:47Z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