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02" w:rightChars="-239"/>
        <w:jc w:val="center"/>
        <w:outlineLvl w:val="0"/>
        <w:rPr>
          <w:rFonts w:hint="eastAsia" w:ascii="方正小标宋简体" w:eastAsia="方正小标宋简体"/>
          <w:sz w:val="44"/>
          <w:szCs w:val="44"/>
          <w:lang w:eastAsia="zh-CN"/>
        </w:rPr>
      </w:pPr>
      <w:bookmarkStart w:id="0" w:name="_Toc534383318"/>
      <w:bookmarkStart w:id="1" w:name="_Toc534381291"/>
      <w:bookmarkStart w:id="2" w:name="_Toc534383157"/>
      <w:r>
        <w:rPr>
          <w:rFonts w:hint="eastAsia" w:ascii="方正小标宋简体" w:eastAsia="方正小标宋简体"/>
          <w:sz w:val="44"/>
          <w:szCs w:val="44"/>
        </w:rPr>
        <w:t>教育发展专项资金</w:t>
      </w:r>
      <w:r>
        <w:rPr>
          <w:rFonts w:hint="eastAsia" w:ascii="方正小标宋简体" w:eastAsia="方正小标宋简体"/>
          <w:sz w:val="44"/>
          <w:szCs w:val="44"/>
          <w:lang w:eastAsia="zh-CN"/>
        </w:rPr>
        <w:t>（推进教育现代化及农村义务教育寄宿制学校建设用途-教师教育振兴行动）</w:t>
      </w:r>
    </w:p>
    <w:p>
      <w:pPr>
        <w:spacing w:line="360" w:lineRule="auto"/>
        <w:jc w:val="center"/>
        <w:outlineLvl w:val="0"/>
        <w:rPr>
          <w:rFonts w:ascii="方正小标宋简体" w:eastAsia="方正小标宋简体"/>
          <w:sz w:val="44"/>
          <w:szCs w:val="44"/>
        </w:rPr>
      </w:pPr>
      <w:r>
        <w:rPr>
          <w:rFonts w:hint="eastAsia" w:ascii="方正小标宋简体" w:eastAsia="方正小标宋简体"/>
          <w:sz w:val="44"/>
          <w:szCs w:val="44"/>
        </w:rPr>
        <w:t>绩效目标</w:t>
      </w:r>
      <w:bookmarkStart w:id="4" w:name="_GoBack"/>
      <w:bookmarkEnd w:id="4"/>
      <w:r>
        <w:rPr>
          <w:rFonts w:hint="eastAsia" w:ascii="方正小标宋简体" w:eastAsia="方正小标宋简体"/>
          <w:sz w:val="44"/>
          <w:szCs w:val="44"/>
        </w:rPr>
        <w:t>表</w:t>
      </w:r>
      <w:bookmarkEnd w:id="0"/>
      <w:bookmarkEnd w:id="1"/>
      <w:bookmarkEnd w:id="2"/>
    </w:p>
    <w:tbl>
      <w:tblPr>
        <w:tblStyle w:val="10"/>
        <w:tblW w:w="9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51"/>
        <w:gridCol w:w="2551"/>
        <w:gridCol w:w="1418"/>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项目名称</w:t>
            </w:r>
          </w:p>
        </w:tc>
        <w:tc>
          <w:tcPr>
            <w:tcW w:w="7938" w:type="dxa"/>
            <w:gridSpan w:val="5"/>
            <w:vAlign w:val="center"/>
          </w:tcPr>
          <w:p>
            <w:pPr>
              <w:spacing w:line="360" w:lineRule="auto"/>
              <w:jc w:val="center"/>
              <w:outlineLvl w:val="1"/>
              <w:rPr>
                <w:rFonts w:ascii="宋体" w:hAnsi="宋体" w:eastAsia="宋体"/>
                <w:sz w:val="24"/>
                <w:szCs w:val="24"/>
              </w:rPr>
            </w:pPr>
            <w:bookmarkStart w:id="3" w:name="_Toc534381292"/>
            <w:r>
              <w:rPr>
                <w:rFonts w:hint="eastAsia" w:ascii="宋体" w:hAnsi="宋体" w:eastAsia="宋体"/>
                <w:sz w:val="24"/>
                <w:szCs w:val="24"/>
              </w:rPr>
              <w:t>教育发展专项资金-推进教育现代化及农村义务教育寄宿制学校建设-教师教育振兴行动</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省级业务主管部门</w:t>
            </w:r>
          </w:p>
        </w:tc>
        <w:tc>
          <w:tcPr>
            <w:tcW w:w="3402"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广东省教育厅</w:t>
            </w:r>
          </w:p>
        </w:tc>
        <w:tc>
          <w:tcPr>
            <w:tcW w:w="141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申报单位</w:t>
            </w:r>
          </w:p>
        </w:tc>
        <w:tc>
          <w:tcPr>
            <w:tcW w:w="3118"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广东省教育厅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项目申报属性</w:t>
            </w:r>
          </w:p>
        </w:tc>
        <w:tc>
          <w:tcPr>
            <w:tcW w:w="3402"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新增安排</w:t>
            </w:r>
          </w:p>
        </w:tc>
        <w:tc>
          <w:tcPr>
            <w:tcW w:w="141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项目类型</w:t>
            </w:r>
          </w:p>
        </w:tc>
        <w:tc>
          <w:tcPr>
            <w:tcW w:w="3118"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项目实施周期</w:t>
            </w:r>
          </w:p>
        </w:tc>
        <w:tc>
          <w:tcPr>
            <w:tcW w:w="7938" w:type="dxa"/>
            <w:gridSpan w:val="5"/>
            <w:vAlign w:val="center"/>
          </w:tcPr>
          <w:p>
            <w:pPr>
              <w:spacing w:line="360" w:lineRule="auto"/>
              <w:jc w:val="center"/>
              <w:rPr>
                <w:rFonts w:ascii="宋体" w:hAnsi="宋体" w:eastAsia="宋体"/>
                <w:sz w:val="24"/>
                <w:szCs w:val="24"/>
              </w:rPr>
            </w:pPr>
            <w:r>
              <w:rPr>
                <w:rFonts w:hint="eastAsia" w:ascii="宋体" w:hAnsi="宋体" w:eastAsia="宋体"/>
                <w:sz w:val="24"/>
                <w:szCs w:val="24"/>
              </w:rPr>
              <w:t>（2019）年-（2021）年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资金需求</w:t>
            </w:r>
            <w:r>
              <w:rPr>
                <w:rFonts w:hint="eastAsia" w:ascii="宋体" w:hAnsi="宋体" w:eastAsia="宋体"/>
                <w:sz w:val="24"/>
                <w:szCs w:val="24"/>
              </w:rPr>
              <w:br w:type="textWrapping"/>
            </w:r>
            <w:r>
              <w:rPr>
                <w:rFonts w:hint="eastAsia" w:ascii="宋体" w:hAnsi="宋体" w:eastAsia="宋体"/>
                <w:sz w:val="24"/>
                <w:szCs w:val="24"/>
              </w:rPr>
              <w:t>（万元）</w:t>
            </w:r>
          </w:p>
        </w:tc>
        <w:tc>
          <w:tcPr>
            <w:tcW w:w="3402"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总金额</w:t>
            </w:r>
          </w:p>
        </w:tc>
        <w:tc>
          <w:tcPr>
            <w:tcW w:w="4536" w:type="dxa"/>
            <w:gridSpan w:val="3"/>
            <w:vAlign w:val="center"/>
          </w:tcPr>
          <w:p>
            <w:pPr>
              <w:spacing w:line="360" w:lineRule="auto"/>
              <w:jc w:val="center"/>
              <w:rPr>
                <w:rFonts w:ascii="宋体" w:hAnsi="宋体" w:eastAsia="宋体"/>
                <w:sz w:val="24"/>
                <w:szCs w:val="24"/>
              </w:rPr>
            </w:pPr>
            <w:r>
              <w:rPr>
                <w:rFonts w:hint="eastAsia" w:ascii="宋体" w:hAnsi="宋体" w:eastAsia="宋体"/>
                <w:sz w:val="24"/>
                <w:szCs w:val="24"/>
              </w:rPr>
              <w:t>150</w:t>
            </w:r>
            <w:r>
              <w:rPr>
                <w:rFonts w:ascii="宋体" w:hAnsi="宋体" w:eastAsia="宋体"/>
                <w:sz w:val="24"/>
                <w:szCs w:val="24"/>
              </w:rPr>
              <w:t>,</w:t>
            </w:r>
            <w:r>
              <w:rPr>
                <w:rFonts w:hint="eastAsia" w:ascii="宋体" w:hAnsi="宋体" w:eastAsia="宋体"/>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Merge w:val="continue"/>
            <w:vAlign w:val="center"/>
          </w:tcPr>
          <w:p>
            <w:pPr>
              <w:spacing w:line="360" w:lineRule="auto"/>
              <w:jc w:val="center"/>
              <w:rPr>
                <w:rFonts w:ascii="宋体" w:hAnsi="宋体" w:eastAsia="宋体"/>
                <w:sz w:val="24"/>
                <w:szCs w:val="24"/>
              </w:rPr>
            </w:pPr>
          </w:p>
        </w:tc>
        <w:tc>
          <w:tcPr>
            <w:tcW w:w="3402"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其中：2019年金额</w:t>
            </w:r>
          </w:p>
        </w:tc>
        <w:tc>
          <w:tcPr>
            <w:tcW w:w="4536" w:type="dxa"/>
            <w:gridSpan w:val="3"/>
            <w:vAlign w:val="center"/>
          </w:tcPr>
          <w:p>
            <w:pPr>
              <w:spacing w:line="360" w:lineRule="auto"/>
              <w:jc w:val="center"/>
              <w:rPr>
                <w:rFonts w:ascii="宋体" w:hAnsi="宋体" w:eastAsia="宋体"/>
                <w:sz w:val="24"/>
                <w:szCs w:val="24"/>
              </w:rPr>
            </w:pPr>
            <w:r>
              <w:rPr>
                <w:rFonts w:hint="eastAsia" w:ascii="宋体" w:hAnsi="宋体" w:eastAsia="宋体"/>
                <w:sz w:val="24"/>
                <w:szCs w:val="24"/>
              </w:rPr>
              <w:t>50</w:t>
            </w:r>
            <w:r>
              <w:rPr>
                <w:rFonts w:ascii="宋体" w:hAnsi="宋体" w:eastAsia="宋体"/>
                <w:sz w:val="24"/>
                <w:szCs w:val="24"/>
              </w:rPr>
              <w:t>,</w:t>
            </w:r>
            <w:r>
              <w:rPr>
                <w:rFonts w:hint="eastAsia" w:ascii="宋体" w:hAnsi="宋体" w:eastAsia="宋体"/>
                <w:sz w:val="24"/>
                <w:szCs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支出内容</w:t>
            </w:r>
          </w:p>
        </w:tc>
        <w:tc>
          <w:tcPr>
            <w:tcW w:w="7938" w:type="dxa"/>
            <w:gridSpan w:val="5"/>
            <w:vAlign w:val="center"/>
          </w:tcPr>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用于支持市县级教师发展中心建设38860万元、培养粤东西北中小学教师11140万元。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政策依据</w:t>
            </w:r>
          </w:p>
        </w:tc>
        <w:tc>
          <w:tcPr>
            <w:tcW w:w="7938" w:type="dxa"/>
            <w:gridSpan w:val="5"/>
            <w:vAlign w:val="center"/>
          </w:tcPr>
          <w:p>
            <w:pPr>
              <w:spacing w:line="360" w:lineRule="auto"/>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《中共中央 国务院关于全面深化新时代教师队伍建设改革的意见》（中发[2018]4号）；</w:t>
            </w:r>
          </w:p>
          <w:p>
            <w:pPr>
              <w:spacing w:line="360" w:lineRule="auto"/>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《教育部等五部门关于印发〈教师教育振兴行动计划（2018－2022年）〉的通知》（教师〔2018〕2号）；</w:t>
            </w:r>
          </w:p>
          <w:p>
            <w:pPr>
              <w:spacing w:line="360" w:lineRule="auto"/>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《中共广东省委广东省人民政府关于全面深化新时代教师队伍建设改革的实施意见》（粤发[2018]25号）；</w:t>
            </w:r>
          </w:p>
          <w:p>
            <w:pPr>
              <w:spacing w:line="360" w:lineRule="auto"/>
              <w:jc w:val="left"/>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《广东省教育厅 广东省机构编制委员会办公室 广东省人力资源和社会保障厅 广东省财政厅关于推进县级教师发展中心建设的意见》（粤教继函〔2017〕58号）；</w:t>
            </w:r>
          </w:p>
          <w:p>
            <w:pPr>
              <w:spacing w:line="360" w:lineRule="auto"/>
              <w:jc w:val="lef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《广东省教育厅 广东省机构编制委员会办公室 广东省人力资源和社会保障厅 广东省财政厅关于推进市级教师发展中心建设的意见》（粤教继函〔2018〕17号）；</w:t>
            </w:r>
          </w:p>
          <w:p>
            <w:pPr>
              <w:spacing w:line="360" w:lineRule="auto"/>
              <w:jc w:val="left"/>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《广东省教育厅 广东省机构编制委员会办公室 广东省财政厅 广东省人力资源和社会保障厅关于开展2018年公费定向培养粤东西北中小学教师试点工作的通知》（粤教师函〔2018〕27号）。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总体绩效目标</w:t>
            </w:r>
            <w:r>
              <w:rPr>
                <w:rFonts w:hint="eastAsia" w:ascii="宋体" w:hAnsi="宋体" w:eastAsia="宋体"/>
                <w:sz w:val="24"/>
                <w:szCs w:val="24"/>
              </w:rPr>
              <w:br w:type="textWrapping"/>
            </w:r>
            <w:r>
              <w:rPr>
                <w:rFonts w:hint="eastAsia" w:ascii="宋体" w:hAnsi="宋体" w:eastAsia="宋体"/>
                <w:sz w:val="24"/>
                <w:szCs w:val="24"/>
              </w:rPr>
              <w:t>（概述）</w:t>
            </w:r>
          </w:p>
        </w:tc>
        <w:tc>
          <w:tcPr>
            <w:tcW w:w="3402"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当年度绩效目标</w:t>
            </w:r>
          </w:p>
        </w:tc>
        <w:tc>
          <w:tcPr>
            <w:tcW w:w="4536" w:type="dxa"/>
            <w:gridSpan w:val="3"/>
            <w:vAlign w:val="center"/>
          </w:tcPr>
          <w:p>
            <w:pPr>
              <w:spacing w:line="360" w:lineRule="auto"/>
              <w:jc w:val="center"/>
              <w:rPr>
                <w:rFonts w:ascii="宋体" w:hAnsi="宋体" w:eastAsia="宋体"/>
                <w:sz w:val="24"/>
                <w:szCs w:val="24"/>
              </w:rPr>
            </w:pPr>
            <w:r>
              <w:rPr>
                <w:rFonts w:hint="eastAsia" w:ascii="宋体" w:hAnsi="宋体" w:eastAsia="宋体"/>
                <w:sz w:val="24"/>
                <w:szCs w:val="24"/>
              </w:rPr>
              <w:t>实施周期绩效目标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Merge w:val="continue"/>
            <w:vAlign w:val="center"/>
          </w:tcPr>
          <w:p>
            <w:pPr>
              <w:spacing w:line="360" w:lineRule="auto"/>
              <w:jc w:val="center"/>
              <w:rPr>
                <w:rFonts w:ascii="宋体" w:hAnsi="宋体" w:eastAsia="宋体"/>
                <w:sz w:val="24"/>
                <w:szCs w:val="24"/>
              </w:rPr>
            </w:pPr>
          </w:p>
        </w:tc>
        <w:tc>
          <w:tcPr>
            <w:tcW w:w="3402" w:type="dxa"/>
            <w:gridSpan w:val="2"/>
            <w:vAlign w:val="center"/>
          </w:tcPr>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精准对接粤东西北地区中小学紧缺学科教师培养需求，按照“自愿报名、择优录取、公费培养、定向从教、限期服务”的原则，为粤东西北中小学培养一批高质量的学前教育、特殊教育、小学教育（全科）和义务教育阶段学校音乐、体育、美术等紧缺学科教师，为高中阶段学校培养专业突出、底蕴深厚的研究生学历层次教师。各地市完成约</w:t>
            </w:r>
            <w:r>
              <w:rPr>
                <w:rFonts w:ascii="宋体" w:hAnsi="宋体" w:eastAsia="宋体"/>
                <w:sz w:val="24"/>
                <w:szCs w:val="24"/>
              </w:rPr>
              <w:t>3</w:t>
            </w:r>
            <w:r>
              <w:rPr>
                <w:rFonts w:hint="eastAsia" w:ascii="宋体" w:hAnsi="宋体" w:eastAsia="宋体"/>
                <w:sz w:val="24"/>
                <w:szCs w:val="24"/>
              </w:rPr>
              <w:t>0%教师发展中心建设任务，进一步完善中小学教师专业发展体系，教师培养培训的针对性和有效性得到提升。</w:t>
            </w:r>
          </w:p>
        </w:tc>
        <w:tc>
          <w:tcPr>
            <w:tcW w:w="4536" w:type="dxa"/>
            <w:gridSpan w:val="3"/>
            <w:vAlign w:val="center"/>
          </w:tcPr>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到2021年，为粤东西北中小学精准培养一批高素质专业化创新型教师人才，粤东西北每市、县通过改扩建、新建，各建成1所中小学教师发展中心，建立和完善省、市、县、校四级中小学教师专业发展体系，教师队伍整体素质得到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绩效指标</w:t>
            </w:r>
          </w:p>
        </w:tc>
        <w:tc>
          <w:tcPr>
            <w:tcW w:w="85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一级</w:t>
            </w:r>
            <w:r>
              <w:rPr>
                <w:rFonts w:hint="eastAsia" w:ascii="宋体" w:hAnsi="宋体" w:eastAsia="宋体"/>
                <w:sz w:val="24"/>
                <w:szCs w:val="24"/>
              </w:rPr>
              <w:br w:type="textWrapping"/>
            </w:r>
            <w:r>
              <w:rPr>
                <w:rFonts w:hint="eastAsia" w:ascii="宋体" w:hAnsi="宋体" w:eastAsia="宋体"/>
                <w:sz w:val="24"/>
                <w:szCs w:val="24"/>
              </w:rPr>
              <w:t>指标</w:t>
            </w:r>
          </w:p>
        </w:tc>
        <w:tc>
          <w:tcPr>
            <w:tcW w:w="255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二级指标</w:t>
            </w:r>
          </w:p>
        </w:tc>
        <w:tc>
          <w:tcPr>
            <w:tcW w:w="141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三级指标</w:t>
            </w:r>
          </w:p>
        </w:tc>
        <w:tc>
          <w:tcPr>
            <w:tcW w:w="141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三级指标目标值</w:t>
            </w:r>
            <w:r>
              <w:rPr>
                <w:rFonts w:hint="eastAsia" w:ascii="宋体" w:hAnsi="宋体" w:eastAsia="宋体"/>
                <w:sz w:val="24"/>
                <w:szCs w:val="24"/>
              </w:rPr>
              <w:br w:type="textWrapping"/>
            </w:r>
            <w:r>
              <w:rPr>
                <w:rFonts w:hint="eastAsia" w:ascii="宋体" w:hAnsi="宋体" w:eastAsia="宋体"/>
                <w:sz w:val="24"/>
                <w:szCs w:val="24"/>
              </w:rPr>
              <w:t>（当年度）</w:t>
            </w:r>
          </w:p>
        </w:tc>
        <w:tc>
          <w:tcPr>
            <w:tcW w:w="170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三级指标目标值</w:t>
            </w:r>
            <w:r>
              <w:rPr>
                <w:rFonts w:hint="eastAsia" w:ascii="宋体" w:hAnsi="宋体" w:eastAsia="宋体"/>
                <w:sz w:val="24"/>
                <w:szCs w:val="24"/>
              </w:rPr>
              <w:br w:type="textWrapping"/>
            </w:r>
            <w:r>
              <w:rPr>
                <w:rFonts w:hint="eastAsia" w:ascii="宋体" w:hAnsi="宋体" w:eastAsia="宋体"/>
                <w:sz w:val="24"/>
                <w:szCs w:val="24"/>
              </w:rPr>
              <w:t>（实施周期）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　</w:t>
            </w:r>
          </w:p>
        </w:tc>
        <w:tc>
          <w:tcPr>
            <w:tcW w:w="851"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产出</w:t>
            </w:r>
          </w:p>
        </w:tc>
        <w:tc>
          <w:tcPr>
            <w:tcW w:w="2551"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数量指标</w:t>
            </w:r>
          </w:p>
        </w:tc>
        <w:tc>
          <w:tcPr>
            <w:tcW w:w="141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全员培训率（%）</w:t>
            </w:r>
          </w:p>
        </w:tc>
        <w:tc>
          <w:tcPr>
            <w:tcW w:w="141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80%</w:t>
            </w:r>
          </w:p>
        </w:tc>
        <w:tc>
          <w:tcPr>
            <w:tcW w:w="170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Merge w:val="continue"/>
            <w:vAlign w:val="center"/>
          </w:tcPr>
          <w:p>
            <w:pPr>
              <w:spacing w:line="360" w:lineRule="auto"/>
              <w:jc w:val="center"/>
              <w:rPr>
                <w:rFonts w:ascii="宋体" w:hAnsi="宋体" w:eastAsia="宋体"/>
                <w:sz w:val="24"/>
                <w:szCs w:val="24"/>
              </w:rPr>
            </w:pPr>
          </w:p>
        </w:tc>
        <w:tc>
          <w:tcPr>
            <w:tcW w:w="851" w:type="dxa"/>
            <w:vMerge w:val="continue"/>
            <w:vAlign w:val="center"/>
          </w:tcPr>
          <w:p>
            <w:pPr>
              <w:spacing w:line="360" w:lineRule="auto"/>
              <w:jc w:val="center"/>
              <w:rPr>
                <w:rFonts w:ascii="宋体" w:hAnsi="宋体" w:eastAsia="宋体"/>
                <w:sz w:val="24"/>
                <w:szCs w:val="24"/>
              </w:rPr>
            </w:pPr>
          </w:p>
        </w:tc>
        <w:tc>
          <w:tcPr>
            <w:tcW w:w="2551" w:type="dxa"/>
            <w:vMerge w:val="continue"/>
            <w:vAlign w:val="center"/>
          </w:tcPr>
          <w:p>
            <w:pPr>
              <w:spacing w:line="360" w:lineRule="auto"/>
              <w:jc w:val="center"/>
              <w:rPr>
                <w:rFonts w:ascii="宋体" w:hAnsi="宋体" w:eastAsia="宋体"/>
                <w:sz w:val="24"/>
                <w:szCs w:val="24"/>
              </w:rPr>
            </w:pPr>
          </w:p>
        </w:tc>
        <w:tc>
          <w:tcPr>
            <w:tcW w:w="141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市县级教师发展中心研训教师高级职称达标率</w:t>
            </w:r>
          </w:p>
        </w:tc>
        <w:tc>
          <w:tcPr>
            <w:tcW w:w="141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60%</w:t>
            </w:r>
          </w:p>
        </w:tc>
        <w:tc>
          <w:tcPr>
            <w:tcW w:w="170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Merge w:val="continue"/>
            <w:vAlign w:val="center"/>
          </w:tcPr>
          <w:p>
            <w:pPr>
              <w:spacing w:line="360" w:lineRule="auto"/>
              <w:jc w:val="center"/>
              <w:rPr>
                <w:rFonts w:ascii="宋体" w:hAnsi="宋体" w:eastAsia="宋体"/>
                <w:sz w:val="24"/>
                <w:szCs w:val="24"/>
              </w:rPr>
            </w:pPr>
          </w:p>
        </w:tc>
        <w:tc>
          <w:tcPr>
            <w:tcW w:w="851" w:type="dxa"/>
            <w:vMerge w:val="continue"/>
            <w:vAlign w:val="center"/>
          </w:tcPr>
          <w:p>
            <w:pPr>
              <w:spacing w:line="360" w:lineRule="auto"/>
              <w:jc w:val="center"/>
              <w:rPr>
                <w:rFonts w:ascii="宋体" w:hAnsi="宋体" w:eastAsia="宋体"/>
                <w:sz w:val="24"/>
                <w:szCs w:val="24"/>
              </w:rPr>
            </w:pPr>
          </w:p>
        </w:tc>
        <w:tc>
          <w:tcPr>
            <w:tcW w:w="255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时效指标</w:t>
            </w:r>
          </w:p>
        </w:tc>
        <w:tc>
          <w:tcPr>
            <w:tcW w:w="141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任务完成率</w:t>
            </w:r>
          </w:p>
        </w:tc>
        <w:tc>
          <w:tcPr>
            <w:tcW w:w="1417" w:type="dxa"/>
            <w:vAlign w:val="center"/>
          </w:tcPr>
          <w:p>
            <w:pPr>
              <w:spacing w:line="360" w:lineRule="auto"/>
              <w:jc w:val="center"/>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0%</w:t>
            </w:r>
          </w:p>
        </w:tc>
        <w:tc>
          <w:tcPr>
            <w:tcW w:w="170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Merge w:val="continue"/>
            <w:vAlign w:val="center"/>
          </w:tcPr>
          <w:p>
            <w:pPr>
              <w:spacing w:line="360" w:lineRule="auto"/>
              <w:jc w:val="center"/>
              <w:rPr>
                <w:rFonts w:ascii="宋体" w:hAnsi="宋体" w:eastAsia="宋体"/>
                <w:sz w:val="24"/>
                <w:szCs w:val="24"/>
              </w:rPr>
            </w:pPr>
          </w:p>
        </w:tc>
        <w:tc>
          <w:tcPr>
            <w:tcW w:w="851"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效益</w:t>
            </w:r>
          </w:p>
        </w:tc>
        <w:tc>
          <w:tcPr>
            <w:tcW w:w="2551" w:type="dxa"/>
            <w:vMerge w:val="restart"/>
            <w:vAlign w:val="center"/>
          </w:tcPr>
          <w:p>
            <w:pPr>
              <w:spacing w:line="360" w:lineRule="auto"/>
              <w:jc w:val="center"/>
              <w:rPr>
                <w:rFonts w:ascii="宋体" w:hAnsi="宋体" w:eastAsia="宋体"/>
                <w:sz w:val="24"/>
                <w:szCs w:val="24"/>
              </w:rPr>
            </w:pPr>
            <w:r>
              <w:rPr>
                <w:rFonts w:hint="eastAsia" w:ascii="宋体" w:hAnsi="宋体" w:eastAsia="宋体"/>
                <w:sz w:val="24"/>
                <w:szCs w:val="24"/>
              </w:rPr>
              <w:t>社会效益指标</w:t>
            </w:r>
          </w:p>
        </w:tc>
        <w:tc>
          <w:tcPr>
            <w:tcW w:w="141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专任教师合格率</w:t>
            </w:r>
          </w:p>
        </w:tc>
        <w:tc>
          <w:tcPr>
            <w:tcW w:w="141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95%</w:t>
            </w:r>
          </w:p>
        </w:tc>
        <w:tc>
          <w:tcPr>
            <w:tcW w:w="170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Merge w:val="continue"/>
            <w:vAlign w:val="center"/>
          </w:tcPr>
          <w:p>
            <w:pPr>
              <w:spacing w:line="360" w:lineRule="auto"/>
              <w:jc w:val="center"/>
              <w:rPr>
                <w:rFonts w:ascii="宋体" w:hAnsi="宋体" w:eastAsia="宋体"/>
                <w:sz w:val="24"/>
                <w:szCs w:val="24"/>
              </w:rPr>
            </w:pPr>
          </w:p>
        </w:tc>
        <w:tc>
          <w:tcPr>
            <w:tcW w:w="851" w:type="dxa"/>
            <w:vMerge w:val="continue"/>
            <w:vAlign w:val="center"/>
          </w:tcPr>
          <w:p>
            <w:pPr>
              <w:spacing w:line="360" w:lineRule="auto"/>
              <w:jc w:val="center"/>
              <w:rPr>
                <w:rFonts w:ascii="宋体" w:hAnsi="宋体" w:eastAsia="宋体"/>
                <w:sz w:val="24"/>
                <w:szCs w:val="24"/>
              </w:rPr>
            </w:pPr>
          </w:p>
        </w:tc>
        <w:tc>
          <w:tcPr>
            <w:tcW w:w="2551" w:type="dxa"/>
            <w:vMerge w:val="continue"/>
            <w:vAlign w:val="center"/>
          </w:tcPr>
          <w:p>
            <w:pPr>
              <w:spacing w:line="360" w:lineRule="auto"/>
              <w:jc w:val="center"/>
              <w:rPr>
                <w:rFonts w:ascii="宋体" w:hAnsi="宋体" w:eastAsia="宋体"/>
                <w:sz w:val="24"/>
                <w:szCs w:val="24"/>
              </w:rPr>
            </w:pPr>
          </w:p>
        </w:tc>
        <w:tc>
          <w:tcPr>
            <w:tcW w:w="141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培训满意度</w:t>
            </w:r>
          </w:p>
        </w:tc>
        <w:tc>
          <w:tcPr>
            <w:tcW w:w="141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80%</w:t>
            </w:r>
          </w:p>
        </w:tc>
        <w:tc>
          <w:tcPr>
            <w:tcW w:w="170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项目负责人</w:t>
            </w:r>
          </w:p>
        </w:tc>
        <w:tc>
          <w:tcPr>
            <w:tcW w:w="3402"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傅湘龙</w:t>
            </w:r>
          </w:p>
        </w:tc>
        <w:tc>
          <w:tcPr>
            <w:tcW w:w="141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联系电话</w:t>
            </w:r>
          </w:p>
        </w:tc>
        <w:tc>
          <w:tcPr>
            <w:tcW w:w="3118" w:type="dxa"/>
            <w:gridSpan w:val="2"/>
            <w:vAlign w:val="center"/>
          </w:tcPr>
          <w:p>
            <w:pPr>
              <w:spacing w:line="360" w:lineRule="auto"/>
              <w:jc w:val="center"/>
              <w:rPr>
                <w:rFonts w:ascii="宋体" w:hAnsi="宋体" w:eastAsia="宋体"/>
                <w:sz w:val="24"/>
                <w:szCs w:val="24"/>
              </w:rPr>
            </w:pPr>
            <w:r>
              <w:rPr>
                <w:rFonts w:ascii="宋体" w:hAnsi="宋体" w:eastAsia="宋体"/>
                <w:sz w:val="24"/>
                <w:szCs w:val="24"/>
              </w:rPr>
              <w:t>37627182</w:t>
            </w:r>
          </w:p>
        </w:tc>
      </w:tr>
    </w:tbl>
    <w:p>
      <w:pPr>
        <w:spacing w:line="360" w:lineRule="auto"/>
        <w:jc w:val="left"/>
        <w:rPr>
          <w:rFonts w:ascii="宋体" w:hAnsi="宋体" w:eastAsia="宋体"/>
          <w:sz w:val="20"/>
          <w:szCs w:val="20"/>
        </w:rPr>
      </w:pPr>
    </w:p>
    <w:sectPr>
      <w:headerReference r:id="rId5" w:type="first"/>
      <w:footerReference r:id="rId8" w:type="first"/>
      <w:headerReference r:id="rId3" w:type="default"/>
      <w:footerReference r:id="rId6" w:type="default"/>
      <w:headerReference r:id="rId4" w:type="even"/>
      <w:footerReference r:id="rId7" w:type="even"/>
      <w:pgSz w:w="11906" w:h="16838"/>
      <w:pgMar w:top="2041" w:right="1418" w:bottom="1418" w:left="1531"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15"/>
    <w:rsid w:val="0002161B"/>
    <w:rsid w:val="00065396"/>
    <w:rsid w:val="001539C6"/>
    <w:rsid w:val="001642B8"/>
    <w:rsid w:val="00264CDF"/>
    <w:rsid w:val="003453CB"/>
    <w:rsid w:val="003B7AEB"/>
    <w:rsid w:val="003C283E"/>
    <w:rsid w:val="003E1BB7"/>
    <w:rsid w:val="0049175D"/>
    <w:rsid w:val="004A1921"/>
    <w:rsid w:val="004A2A09"/>
    <w:rsid w:val="004C36F1"/>
    <w:rsid w:val="00526DE2"/>
    <w:rsid w:val="005A428F"/>
    <w:rsid w:val="00610424"/>
    <w:rsid w:val="006134BF"/>
    <w:rsid w:val="006A580E"/>
    <w:rsid w:val="00710148"/>
    <w:rsid w:val="00775CBF"/>
    <w:rsid w:val="007C70D3"/>
    <w:rsid w:val="00871CF5"/>
    <w:rsid w:val="00876C9D"/>
    <w:rsid w:val="008C524A"/>
    <w:rsid w:val="008C6A56"/>
    <w:rsid w:val="008D4C1B"/>
    <w:rsid w:val="008D6D3E"/>
    <w:rsid w:val="00932EC6"/>
    <w:rsid w:val="00B01684"/>
    <w:rsid w:val="00B455DE"/>
    <w:rsid w:val="00B85772"/>
    <w:rsid w:val="00BB105C"/>
    <w:rsid w:val="00C03CC4"/>
    <w:rsid w:val="00C0707D"/>
    <w:rsid w:val="00C11315"/>
    <w:rsid w:val="00C370D0"/>
    <w:rsid w:val="00D420B0"/>
    <w:rsid w:val="00DB73EC"/>
    <w:rsid w:val="00E01914"/>
    <w:rsid w:val="00E458C3"/>
    <w:rsid w:val="00E52AE4"/>
    <w:rsid w:val="00E63555"/>
    <w:rsid w:val="00E97ED8"/>
    <w:rsid w:val="00EC0C8C"/>
    <w:rsid w:val="00ED7AF2"/>
    <w:rsid w:val="00F2747B"/>
    <w:rsid w:val="00F7483E"/>
    <w:rsid w:val="00FB0896"/>
    <w:rsid w:val="00FD3C49"/>
    <w:rsid w:val="02DC4233"/>
    <w:rsid w:val="05CC0560"/>
    <w:rsid w:val="1F38277E"/>
    <w:rsid w:val="5F091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uiPriority w:val="39"/>
    <w:pPr>
      <w:tabs>
        <w:tab w:val="right" w:leader="dot" w:pos="8947"/>
      </w:tabs>
      <w:spacing w:line="360" w:lineRule="auto"/>
    </w:pPr>
    <w:rPr>
      <w:rFonts w:ascii="黑体" w:hAnsi="黑体" w:eastAsia="黑体"/>
      <w:sz w:val="32"/>
    </w:rPr>
  </w:style>
  <w:style w:type="paragraph" w:styleId="6">
    <w:name w:val="toc 2"/>
    <w:basedOn w:val="1"/>
    <w:next w:val="1"/>
    <w:unhideWhenUsed/>
    <w:qFormat/>
    <w:uiPriority w:val="39"/>
    <w:pPr>
      <w:tabs>
        <w:tab w:val="right" w:leader="dot" w:pos="8947"/>
      </w:tabs>
      <w:spacing w:line="360" w:lineRule="auto"/>
    </w:pPr>
    <w:rPr>
      <w:rFonts w:ascii="仿宋_GB2312" w:hAnsi="宋体" w:eastAsia="仿宋_GB2312"/>
      <w:sz w:val="32"/>
    </w:rPr>
  </w:style>
  <w:style w:type="character" w:styleId="8">
    <w:name w:val="Hyperlink"/>
    <w:basedOn w:val="7"/>
    <w:unhideWhenUsed/>
    <w:uiPriority w:val="99"/>
    <w:rPr>
      <w:color w:val="0563C1" w:themeColor="hyperlink"/>
      <w:u w:val="single"/>
      <w14:textFill>
        <w14:solidFill>
          <w14:schemeClr w14:val="hlink"/>
        </w14:solidFill>
      </w14:textFill>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 w:type="character" w:customStyle="1" w:styleId="13">
    <w:name w:val="标题 1 字符"/>
    <w:basedOn w:val="7"/>
    <w:link w:val="2"/>
    <w:uiPriority w:val="9"/>
    <w:rPr>
      <w:b/>
      <w:bCs/>
      <w:kern w:val="44"/>
      <w:sz w:val="44"/>
      <w:szCs w:val="44"/>
    </w:rPr>
  </w:style>
  <w:style w:type="paragraph" w:customStyle="1" w:styleId="1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CD7D0-4C27-4B91-A79F-2DC5619E1D6B}">
  <ds:schemaRefs/>
</ds:datastoreItem>
</file>

<file path=docProps/app.xml><?xml version="1.0" encoding="utf-8"?>
<Properties xmlns="http://schemas.openxmlformats.org/officeDocument/2006/extended-properties" xmlns:vt="http://schemas.openxmlformats.org/officeDocument/2006/docPropsVTypes">
  <Template>Normal</Template>
  <Pages>3</Pages>
  <Words>183</Words>
  <Characters>1044</Characters>
  <Lines>8</Lines>
  <Paragraphs>2</Paragraphs>
  <ScaleCrop>false</ScaleCrop>
  <LinksUpToDate>false</LinksUpToDate>
  <CharactersWithSpaces>1225</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2018-12-27T03:45:00Z</dcterms:created>
  <dc:creator>DL SHI</dc:creator>
  <cp:lastModifiedBy>姚晓龙</cp:lastModifiedBy>
  <dcterms:modified xsi:type="dcterms:W3CDTF">2019-03-28T03:52:59Z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