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ascii="宋体" w:hAnsi="宋体"/>
          <w:b/>
          <w:bCs/>
          <w:kern w:val="44"/>
          <w:szCs w:val="21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地方政府债券债权托管应急申请书</w:t>
      </w:r>
    </w:p>
    <w:p>
      <w:pPr>
        <w:adjustRightInd w:val="0"/>
        <w:snapToGrid w:val="0"/>
        <w:ind w:firstLine="65" w:firstLineChars="50"/>
        <w:contextualSpacing/>
        <w:rPr>
          <w:rFonts w:ascii="宋体" w:hAnsi="Calibri"/>
          <w:sz w:val="24"/>
        </w:rPr>
      </w:pPr>
      <w:r>
        <w:rPr>
          <w:rFonts w:ascii="Calibri" w:hAnsi="Calibri"/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rFonts w:ascii="Calibri" w:hAnsi="Calibri"/>
          <w:szCs w:val="21"/>
        </w:rPr>
        <w:t xml:space="preserve"> </w:t>
      </w:r>
      <w:r>
        <w:rPr>
          <w:rFonts w:hint="eastAsia" w:ascii="Calibri" w:hAnsi="Calibri"/>
          <w:szCs w:val="21"/>
        </w:rPr>
        <w:t>　</w:t>
      </w:r>
      <w:r>
        <w:rPr>
          <w:rFonts w:hint="eastAsia" w:ascii="宋体" w:hAnsi="宋体" w:cs="宋体"/>
          <w:sz w:val="24"/>
        </w:rPr>
        <w:t>：</w:t>
      </w:r>
      <w:bookmarkStart w:id="0" w:name="_GoBack"/>
      <w:bookmarkEnd w:id="0"/>
    </w:p>
    <w:p>
      <w:pPr>
        <w:adjustRightInd w:val="0"/>
        <w:snapToGrid w:val="0"/>
        <w:spacing w:before="61" w:beforeLines="20"/>
        <w:contextualSpacing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由于政府债券发行系统客户端出现故障，现以书面形式发送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napToGrid w:val="0"/>
        <w:spacing w:before="61" w:beforeLines="20"/>
        <w:ind w:firstLine="2310" w:firstLineChars="1100"/>
        <w:contextualSpacing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 xml:space="preserve">  </w:t>
      </w:r>
    </w:p>
    <w:p>
      <w:pPr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投标方名称:</w:t>
      </w:r>
      <w:r>
        <w:rPr>
          <w:rFonts w:hint="eastAsia" w:ascii="仿宋_GB2312" w:hAnsi="仿宋_GB2312" w:eastAsia="仿宋_GB2312" w:cs="仿宋_GB2312"/>
          <w:szCs w:val="22"/>
          <w:u w:val="single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自营托管账号:</w:t>
      </w:r>
      <w:r>
        <w:rPr>
          <w:rFonts w:hint="eastAsia" w:ascii="仿宋_GB2312" w:hAnsi="仿宋_GB2312" w:eastAsia="仿宋_GB2312" w:cs="仿宋_GB2312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hint="eastAsia" w:ascii="仿宋_GB2312" w:hAnsi="仿宋_GB2312" w:eastAsia="仿宋_GB2312" w:cs="仿宋_GB2312"/>
          <w:b/>
          <w:bCs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Cs w:val="22"/>
        </w:rPr>
        <w:t>申请日期: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>年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>月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 xml:space="preserve">日【要素1】   </w:t>
      </w:r>
    </w:p>
    <w:p>
      <w:pPr>
        <w:rPr>
          <w:rFonts w:hint="eastAsia" w:ascii="仿宋_GB2312" w:hAnsi="仿宋_GB2312" w:eastAsia="仿宋_GB2312" w:cs="仿宋_GB2312"/>
          <w:b/>
          <w:bCs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Cs w:val="22"/>
        </w:rPr>
        <w:t>债券代码: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>【要素2】</w:t>
      </w:r>
      <w:r>
        <w:rPr>
          <w:rFonts w:hint="eastAsia" w:ascii="仿宋_GB2312" w:hAnsi="仿宋_GB2312" w:eastAsia="仿宋_GB2312" w:cs="仿宋_GB2312"/>
          <w:szCs w:val="22"/>
        </w:rPr>
        <w:t xml:space="preserve">      </w:t>
      </w:r>
    </w:p>
    <w:tbl>
      <w:tblPr>
        <w:tblStyle w:val="3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32" w:firstLineChars="300"/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中央国债登记公司【要素3】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合计【要素4】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</w:tbl>
    <w:p>
      <w:pPr>
        <w:widowControl/>
        <w:snapToGrid w:val="0"/>
        <w:spacing w:before="100" w:beforeLines="20" w:beforeAutospacing="1" w:afterAutospacing="1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电子密押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pacing w:val="-40"/>
          <w:kern w:val="0"/>
          <w:position w:val="-6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(  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16位数字)</w:t>
      </w:r>
    </w:p>
    <w:p>
      <w:pPr>
        <w:widowControl/>
        <w:snapToGrid w:val="0"/>
        <w:spacing w:before="100" w:beforeLines="20" w:beforeAutospacing="1" w:afterAutospacing="1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　　　　　　　　  </w:t>
      </w:r>
    </w:p>
    <w:p>
      <w:pPr>
        <w:widowControl/>
        <w:snapToGrid w:val="0"/>
        <w:spacing w:before="100" w:beforeLines="20" w:beforeAutospacing="1" w:afterAutospacing="1"/>
        <w:jc w:val="left"/>
        <w:rPr>
          <w:rFonts w:hint="eastAsia" w:ascii="仿宋_GB2312" w:hAnsi="仿宋_GB2312" w:eastAsia="仿宋_GB2312" w:cs="仿宋_GB2312"/>
          <w:b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　　　　　　　　　</w:t>
      </w:r>
      <w:r>
        <w:rPr>
          <w:rFonts w:hint="eastAsia" w:ascii="仿宋_GB2312" w:hAnsi="仿宋_GB2312" w:eastAsia="仿宋_GB2312" w:cs="仿宋_GB2312"/>
          <w:b/>
          <w:kern w:val="0"/>
          <w:szCs w:val="32"/>
        </w:rPr>
        <w:t>单位印章</w:t>
      </w:r>
    </w:p>
    <w:p>
      <w:pPr>
        <w:widowControl/>
        <w:snapToGrid w:val="0"/>
        <w:spacing w:before="100" w:beforeLines="20" w:beforeAutospacing="1" w:afterAutospacing="1"/>
        <w:jc w:val="left"/>
        <w:rPr>
          <w:rFonts w:hint="eastAsia" w:ascii="仿宋_GB2312" w:hAnsi="仿宋_GB2312" w:eastAsia="仿宋_GB2312" w:cs="仿宋_GB2312"/>
          <w:b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注意事项：</w:t>
      </w:r>
    </w:p>
    <w:p>
      <w:pPr>
        <w:widowControl/>
        <w:spacing w:line="180" w:lineRule="atLeast"/>
        <w:ind w:left="420" w:leftChars="2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1、应急申请书填写须清晰，不得涂改。</w:t>
      </w:r>
    </w:p>
    <w:p>
      <w:pPr>
        <w:widowControl/>
        <w:spacing w:line="180" w:lineRule="atLeast"/>
        <w:ind w:left="420" w:leftChars="2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>
      <w:pPr>
        <w:widowControl/>
        <w:snapToGrid/>
        <w:spacing w:before="0" w:beforeLines="0" w:line="180" w:lineRule="atLeas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3、发行室电话</w:t>
      </w:r>
      <w:r>
        <w:rPr>
          <w:rFonts w:hint="eastAsia" w:ascii="宋体" w:hAnsi="宋体" w:eastAsia="宋体" w:cs="宋体"/>
          <w:szCs w:val="21"/>
          <w:lang w:eastAsia="zh-CN"/>
        </w:rPr>
        <w:t>〔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具体发行室（招标室）将于各期债券发行当日通知</w:t>
      </w:r>
      <w:r>
        <w:rPr>
          <w:rFonts w:hint="eastAsia" w:ascii="宋体" w:hAnsi="宋体" w:eastAsia="宋体" w:cs="宋体"/>
          <w:szCs w:val="21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widowControl/>
        <w:snapToGrid/>
        <w:spacing w:before="0" w:beforeLines="0" w:line="180" w:lineRule="atLeas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</w:rPr>
        <w:t>中央国债登记结算有限责任公司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：地方债1号发行室：010-88170531、0532、0533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0534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传真：010-8817170905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地方债2号发行室：010-88170543、0544、0545、0546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传真：010-88170939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上海总部发行室：010-88170051 、0052、0053、0054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传真：010-88170966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</w:p>
    <w:p>
      <w:pPr>
        <w:snapToGrid w:val="0"/>
        <w:spacing w:before="61" w:beforeLines="20" w:line="180" w:lineRule="atLeast"/>
        <w:ind w:left="0" w:leftChars="0" w:firstLine="420" w:firstLine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深圳客服中心发行室：010-88170043、0044、0045、0046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传真：010-88170960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。</w:t>
      </w:r>
    </w:p>
    <w:p>
      <w:pPr>
        <w:snapToGrid w:val="0"/>
        <w:spacing w:before="61" w:beforeLines="20" w:line="180" w:lineRule="atLeast"/>
        <w:ind w:left="0" w:leftChars="0" w:firstLine="422" w:firstLine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</w:rPr>
        <w:t>上海证券交易所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：招标室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1：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021-50496351、50496359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传真：021-50496599、50496377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 xml:space="preserve"> </w:t>
      </w:r>
    </w:p>
    <w:p>
      <w:pPr>
        <w:snapToGrid w:val="0"/>
        <w:spacing w:before="61" w:beforeLines="20" w:line="180" w:lineRule="atLeast"/>
        <w:ind w:left="0" w:leftChars="0" w:firstLine="420" w:firstLine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招标室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2：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021-50185112、50185831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传真：021-50186552、50186537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招标室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3：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 xml:space="preserve"> 021-50496380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、</w:t>
      </w:r>
    </w:p>
    <w:p>
      <w:pPr>
        <w:snapToGrid w:val="0"/>
        <w:spacing w:before="61" w:beforeLines="20" w:line="180" w:lineRule="atLeast"/>
        <w:ind w:left="0" w:leftChars="0" w:firstLine="420" w:firstLine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50496511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传真：021-50496235、50182736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。</w:t>
      </w:r>
    </w:p>
    <w:p>
      <w:pPr>
        <w:snapToGrid w:val="0"/>
        <w:spacing w:before="61" w:beforeLines="20" w:line="180" w:lineRule="atLeast"/>
        <w:ind w:left="0" w:leftChars="0" w:firstLine="422" w:firstLine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</w:rPr>
        <w:t>深圳证券交易所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：招标室：0755-88666595、6596、6597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传真：0755-88666598、6599、6600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02A3C"/>
    <w:rsid w:val="2FC0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2021-03-15T03:47:00Z</dcterms:created>
  <dc:creator>247</dc:creator>
  <cp:lastModifiedBy>247</cp:lastModifiedBy>
  <dcterms:modified xsi:type="dcterms:W3CDTF">2021-03-15T03:47:22Z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