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3" w:firstLine="147" w:firstLineChars="49"/>
        <w:contextualSpacing/>
        <w:jc w:val="center"/>
        <w:rPr>
          <w:rFonts w:hint="eastAsia" w:eastAsia="仿宋_GB2312"/>
          <w:color w:val="000000"/>
          <w:sz w:val="32"/>
          <w:szCs w:val="32"/>
          <w:lang w:eastAsia="zh-CN"/>
        </w:rPr>
      </w:pPr>
      <w:r>
        <w:rPr>
          <w:rFonts w:hint="eastAsia"/>
          <w:color w:val="000000"/>
          <w:sz w:val="30"/>
          <w:szCs w:val="30"/>
        </w:rPr>
        <w:t xml:space="preserve">         </w:t>
      </w:r>
      <w:r>
        <w:rPr>
          <w:rFonts w:hint="eastAsia"/>
          <w:color w:val="000000"/>
          <w:sz w:val="32"/>
          <w:szCs w:val="32"/>
        </w:rPr>
        <w:t xml:space="preserve">                  </w:t>
      </w:r>
      <w:r>
        <w:rPr>
          <w:rFonts w:hint="eastAsia"/>
          <w:color w:val="000000"/>
          <w:sz w:val="32"/>
          <w:szCs w:val="32"/>
          <w:lang w:val="en-US" w:eastAsia="zh-CN"/>
        </w:rPr>
        <w:t xml:space="preserve">   </w:t>
      </w:r>
      <w:r>
        <w:rPr>
          <w:rFonts w:hint="eastAsia"/>
          <w:color w:val="000000"/>
          <w:sz w:val="32"/>
          <w:szCs w:val="32"/>
        </w:rPr>
        <w:t xml:space="preserve">  </w:t>
      </w:r>
      <w:bookmarkStart w:id="0" w:name="文号的完整"/>
      <w:r>
        <w:rPr>
          <w:rFonts w:hint="eastAsia"/>
          <w:color w:val="000000"/>
          <w:sz w:val="32"/>
          <w:szCs w:val="32"/>
          <w:lang w:eastAsia="zh-CN"/>
        </w:rPr>
        <w:t>粤财评备〔2021〕10号</w:t>
      </w:r>
      <w:bookmarkEnd w:id="0"/>
    </w:p>
    <w:p>
      <w:pPr>
        <w:snapToGrid w:val="0"/>
        <w:spacing w:line="288" w:lineRule="auto"/>
        <w:jc w:val="center"/>
        <w:rPr>
          <w:rFonts w:hint="eastAsia"/>
          <w:sz w:val="32"/>
          <w:szCs w:val="32"/>
        </w:rPr>
      </w:pPr>
    </w:p>
    <w:p>
      <w:pPr>
        <w:snapToGrid w:val="0"/>
        <w:spacing w:line="288" w:lineRule="auto"/>
        <w:jc w:val="center"/>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广东省财政厅关于广东美佳联房地产土地资产评估咨询有限公司等10家机构的变更备案公告</w:t>
      </w:r>
      <w:bookmarkEnd w:id="1"/>
    </w:p>
    <w:p>
      <w:pPr>
        <w:snapToGrid w:val="0"/>
        <w:spacing w:line="288" w:lineRule="auto"/>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6" w:firstLineChars="0"/>
        <w:jc w:val="left"/>
        <w:textAlignment w:val="auto"/>
        <w:outlineLvl w:val="9"/>
        <w:rPr>
          <w:rFonts w:hint="eastAsia" w:ascii="仿宋_GB2312" w:hAnsi="仿宋_GB2312" w:eastAsia="仿宋_GB2312" w:cs="仿宋_GB2312"/>
          <w:bCs/>
          <w:sz w:val="32"/>
          <w:szCs w:val="32"/>
        </w:rPr>
      </w:pPr>
      <w:bookmarkStart w:id="2" w:name="Content"/>
      <w:bookmarkEnd w:id="2"/>
      <w:r>
        <w:rPr>
          <w:rFonts w:hint="eastAsia" w:ascii="仿宋_GB2312" w:hAnsi="仿宋_GB2312" w:eastAsia="仿宋_GB2312" w:cs="仿宋_GB2312"/>
          <w:sz w:val="32"/>
          <w:szCs w:val="32"/>
          <w:lang w:val="en-US" w:eastAsia="zh-CN"/>
        </w:rPr>
        <w:t>广东美佳联房地产土地资产评估咨询有限公司、中山市经纬土地房地产评估有限公司、中山市财通资产土地房地产估价咨询有限公司、广东衡达房地产土地资产评估与测绘有限公司、广东明科资产评估土地房地产估价有限公司、广东均正房地产与土地估价有限公司、北京中天衡平国际资产评估有限公司广州分公司、广东融达房地产土地资产评估咨询有限公司、广东泰正资产土地房地产评估有限公司、广东天粤资产评估与土地房地产估价有限公司等10家机构</w:t>
      </w:r>
      <w:r>
        <w:rPr>
          <w:rFonts w:hint="eastAsia" w:ascii="仿宋_GB2312" w:hAnsi="仿宋_GB2312" w:eastAsia="仿宋_GB2312" w:cs="仿宋_GB2312"/>
          <w:bCs/>
          <w:sz w:val="32"/>
          <w:szCs w:val="32"/>
        </w:rPr>
        <w:t>报来的《资产评估机构变更事项备案表》及有关材料收悉。根据《中华人民共和国资产评估法》《资产评估行业财政监督管理办法》</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的有关规定，予以变更备案。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6"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上述</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变更信息如下表所示，</w:t>
      </w:r>
      <w:r>
        <w:rPr>
          <w:rFonts w:hint="eastAsia" w:ascii="仿宋_GB2312" w:hAnsi="仿宋_GB2312" w:eastAsia="仿宋_GB2312" w:cs="仿宋_GB2312"/>
          <w:bCs/>
          <w:sz w:val="32"/>
          <w:szCs w:val="32"/>
        </w:rPr>
        <w:t>并已录入备案信息管理系统，可通过财政部、中国资产评估协会</w:t>
      </w:r>
      <w:r>
        <w:rPr>
          <w:rFonts w:hint="eastAsia" w:ascii="仿宋_GB2312" w:hAnsi="仿宋_GB2312" w:eastAsia="仿宋_GB2312" w:cs="仿宋_GB2312"/>
          <w:sz w:val="32"/>
          <w:szCs w:val="32"/>
        </w:rPr>
        <w:t>官方网站进行查询。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6"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6" w:firstLineChars="0"/>
        <w:jc w:val="left"/>
        <w:textAlignment w:val="auto"/>
        <w:outlineLvl w:val="9"/>
        <w:rPr>
          <w:rFonts w:hint="eastAsia" w:ascii="仿宋_GB2312" w:hAnsi="仿宋_GB2312" w:eastAsia="仿宋_GB2312" w:cs="仿宋_GB2312"/>
          <w:sz w:val="32"/>
          <w:szCs w:val="32"/>
        </w:rPr>
      </w:pPr>
    </w:p>
    <w:tbl>
      <w:tblPr>
        <w:tblStyle w:val="3"/>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365"/>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公司名称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变更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26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广东美佳联房地产土地资产评估咨询有限公司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名称</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名称由广东美佳联房地产与土地评估咨询有限公司变更为广东美佳联房地产土地资产评估咨询有限公司。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中山市经纬土地房地产评估有限公司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股东</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股东由张朝辉、郭明姬、李文青等3人变更为张朝辉、郭明姬、黄文毓等3人。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中山市财通资产土地房地产估价咨询有限公司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股东</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股东由宋碧华、吴筱海、彭小丽等3人变更为宋碧华、吴筱海、谭尧、彭健等4人。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广东衡达房地产土地资产评估与测绘有限公司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股东</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股东由余俊峰、常艳艳、廖国强、韩一春、罗小秋等5人变更为余俊峰、常艳艳、廖国强、韩一春等4人。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广东明科资产评估土地房地产估价有限公司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股东</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股东由刘清虹、李忠、梁振欣、赵小旺等4人变更为刘清虹、李忠、梁振欣等3人。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广东均正房地产与土地估价有限公司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法定代表人、股东</w:t>
            </w:r>
          </w:p>
        </w:tc>
        <w:tc>
          <w:tcPr>
            <w:tcW w:w="4269"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法定代表人由王志新变更为廖双波。</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股东由王志新、王丽、聂竹松、张书洧等4人变更为廖双波、王志新、王丽等3人。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公司名称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变更</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26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北京中天衡平国际资产评估有限公司广州分公司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分支机构负责人</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分支机构负责人由辛宝柱变更为钟蔚娴。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广东融达房地产土地资产评估咨询有限公司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股东</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股东由曹大葵、吴念一、陈寿千、聂满红、陶全军等5人变更为曹大葵、吴念一、陈寿千、聂满红等4人。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广东泰正资产土地房地产评估有限公司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名称</w:t>
            </w:r>
          </w:p>
        </w:tc>
        <w:tc>
          <w:tcPr>
            <w:tcW w:w="4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名称由梅州市泰正土地房地产评估有限责任公司变更为广东泰正资产土地房地产评估有限公司。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341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广东天粤资产评估与土地房地产估价有限公司</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名称、法定代表人及股东</w:t>
            </w:r>
          </w:p>
        </w:tc>
        <w:tc>
          <w:tcPr>
            <w:tcW w:w="4269"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名称由广东天粤资产评估土地估价有限公司变更为广东天粤资产评估与土地房地产估价有限公司。</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法定代表人由王琦变更为左敏。</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股东由王琦、王德厚等2人变更为王琦、左敏、李建民等3人。</w:t>
            </w:r>
          </w:p>
        </w:tc>
      </w:tr>
    </w:tbl>
    <w:p>
      <w:pPr>
        <w:snapToGrid w:val="0"/>
        <w:spacing w:line="360" w:lineRule="auto"/>
        <w:ind w:firstLine="640" w:firstLineChars="200"/>
        <w:outlineLvl w:val="9"/>
        <w:rPr>
          <w:rFonts w:hint="eastAsia" w:ascii="仿宋_GB2312" w:hAnsi="仿宋_GB2312" w:eastAsia="仿宋_GB2312" w:cs="仿宋_GB2312"/>
          <w:sz w:val="32"/>
          <w:szCs w:val="32"/>
          <w:lang w:eastAsia="zh-CN"/>
        </w:rPr>
      </w:pPr>
    </w:p>
    <w:p>
      <w:pPr>
        <w:snapToGrid w:val="0"/>
        <w:spacing w:line="360" w:lineRule="auto"/>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特此公告。</w:t>
      </w:r>
    </w:p>
    <w:p>
      <w:pPr>
        <w:snapToGrid w:val="0"/>
        <w:spacing w:line="360" w:lineRule="auto"/>
        <w:rPr>
          <w:rFonts w:hint="eastAsia" w:ascii="仿宋_GB2312" w:hAnsi="仿宋_GB2312" w:eastAsia="仿宋_GB2312" w:cs="仿宋_GB2312"/>
          <w:sz w:val="32"/>
          <w:szCs w:val="32"/>
        </w:rPr>
      </w:pPr>
    </w:p>
    <w:p>
      <w:pPr>
        <w:snapToGrid w:val="0"/>
        <w:spacing w:line="360" w:lineRule="auto"/>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F1C25"/>
    <w:rsid w:val="1D9F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2021-04-01T07:30:00Z</dcterms:created>
  <dc:creator>247</dc:creator>
  <cp:lastModifiedBy>247</cp:lastModifiedBy>
  <dcterms:modified xsi:type="dcterms:W3CDTF">2021-04-01T07:31:43Z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