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hAnsi="黑体"/>
          <w:b/>
          <w:sz w:val="32"/>
          <w:szCs w:val="32"/>
        </w:rPr>
      </w:pPr>
      <w:bookmarkStart w:id="1" w:name="_GoBack"/>
      <w:bookmarkEnd w:id="1"/>
      <w:r>
        <w:rPr>
          <w:rFonts w:hint="eastAsia" w:ascii="黑体" w:hAnsi="黑体" w:eastAsia="黑体" w:cs="黑体"/>
          <w:b w:val="0"/>
          <w:bCs/>
          <w:sz w:val="32"/>
          <w:szCs w:val="32"/>
        </w:rPr>
        <w:t>附件5</w:t>
      </w:r>
    </w:p>
    <w:p>
      <w:pPr>
        <w:pStyle w:val="3"/>
        <w:ind w:firstLine="0" w:firstLineChars="0"/>
        <w:rPr>
          <w:rFonts w:hint="eastAsia" w:hAnsi="黑体"/>
          <w:b/>
          <w:sz w:val="32"/>
          <w:szCs w:val="32"/>
        </w:rPr>
      </w:pPr>
    </w:p>
    <w:p>
      <w:pPr>
        <w:pStyle w:val="3"/>
        <w:ind w:firstLine="0" w:firstLineChars="0"/>
        <w:jc w:val="center"/>
        <w:rPr>
          <w:rFonts w:hint="eastAsia" w:ascii="方正小标宋简体" w:hAnsi="方正小标宋简体" w:eastAsia="方正小标宋简体" w:cs="方正小标宋简体"/>
          <w:b w:val="0"/>
          <w:bCs/>
          <w:sz w:val="36"/>
          <w:szCs w:val="36"/>
        </w:rPr>
      </w:pPr>
      <w:bookmarkStart w:id="0" w:name="（国有）资本保值增值情况表编制说明"/>
      <w:r>
        <w:rPr>
          <w:rFonts w:hint="eastAsia" w:ascii="方正小标宋简体" w:hAnsi="方正小标宋简体" w:eastAsia="方正小标宋简体" w:cs="方正小标宋简体"/>
          <w:b w:val="0"/>
          <w:bCs/>
          <w:sz w:val="36"/>
          <w:szCs w:val="36"/>
        </w:rPr>
        <w:t>（国有）资本保值增值情况表编制说明</w:t>
      </w:r>
    </w:p>
    <w:bookmarkEnd w:id="0"/>
    <w:p>
      <w:pPr>
        <w:spacing w:before="100" w:beforeAutospacing="1" w:line="40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一、主要内容</w:t>
      </w:r>
    </w:p>
    <w:p>
      <w:pPr>
        <w:pStyle w:val="3"/>
        <w:spacing w:line="400" w:lineRule="exact"/>
        <w:ind w:firstLine="480"/>
        <w:rPr>
          <w:rFonts w:hint="eastAsia" w:hAnsi="宋体"/>
          <w:sz w:val="24"/>
        </w:rPr>
      </w:pPr>
      <w:r>
        <w:rPr>
          <w:rFonts w:hint="eastAsia" w:hAnsi="宋体"/>
          <w:sz w:val="24"/>
        </w:rPr>
        <w:t>金融企业（国有）资本保值增值情况表主要反映金融企业年初、年末（国家）所有者权益数额，以及由于各种原因影响年度内（国家）所有者权益增减变动的情况。一级分行（分公司）不填此表。</w:t>
      </w:r>
    </w:p>
    <w:p>
      <w:pPr>
        <w:spacing w:before="100" w:beforeAutospacing="1" w:line="40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二、编制方法</w:t>
      </w:r>
    </w:p>
    <w:p>
      <w:pPr>
        <w:pStyle w:val="3"/>
        <w:spacing w:line="400" w:lineRule="exact"/>
        <w:ind w:firstLine="480"/>
        <w:rPr>
          <w:rFonts w:hint="eastAsia" w:hAnsi="宋体"/>
          <w:sz w:val="24"/>
        </w:rPr>
      </w:pPr>
      <w:r>
        <w:rPr>
          <w:rFonts w:hint="eastAsia" w:hAnsi="宋体"/>
          <w:sz w:val="24"/>
        </w:rPr>
        <w:t>金融企业（国有）资本保值增值情况表根据当年各有关所有者权益类账户及其明细账户期初余额、期末余额、本年发生额等分析编制。各项客观因素按实际影响（国家）所有者权益数额填列。</w:t>
      </w:r>
    </w:p>
    <w:p>
      <w:pPr>
        <w:spacing w:before="100" w:beforeAutospacing="1" w:line="400" w:lineRule="exact"/>
        <w:ind w:firstLine="482" w:firstLineChars="200"/>
        <w:outlineLvl w:val="0"/>
        <w:rPr>
          <w:rFonts w:hint="eastAsia" w:ascii="仿宋_GB2312" w:hAnsi="黑体" w:eastAsia="仿宋_GB2312"/>
          <w:b/>
          <w:sz w:val="24"/>
        </w:rPr>
      </w:pPr>
      <w:r>
        <w:rPr>
          <w:rFonts w:hint="eastAsia" w:ascii="仿宋_GB2312" w:hAnsi="黑体" w:eastAsia="仿宋_GB2312"/>
          <w:b/>
          <w:sz w:val="24"/>
        </w:rPr>
        <w:t>三、有关指标解释</w:t>
      </w:r>
    </w:p>
    <w:p>
      <w:pPr>
        <w:pStyle w:val="3"/>
        <w:spacing w:line="400" w:lineRule="exact"/>
        <w:ind w:firstLine="480"/>
        <w:rPr>
          <w:rFonts w:hint="eastAsia" w:hAnsi="宋体"/>
          <w:sz w:val="24"/>
        </w:rPr>
      </w:pPr>
      <w:r>
        <w:rPr>
          <w:rFonts w:hint="eastAsia" w:hAnsi="宋体"/>
          <w:sz w:val="24"/>
        </w:rPr>
        <w:t>（一）各栏指标的填列</w:t>
      </w:r>
    </w:p>
    <w:p>
      <w:pPr>
        <w:pStyle w:val="3"/>
        <w:spacing w:line="400" w:lineRule="exact"/>
        <w:ind w:firstLine="480"/>
        <w:rPr>
          <w:rFonts w:hint="eastAsia" w:hAnsi="宋体"/>
          <w:sz w:val="24"/>
        </w:rPr>
      </w:pPr>
      <w:r>
        <w:rPr>
          <w:rFonts w:hint="eastAsia" w:hAnsi="宋体"/>
          <w:sz w:val="24"/>
        </w:rPr>
        <w:t>金融企业（国有）资本保值增值情况表各栏反映金融企业（国家）所有者权益数额。具体包括（国有）实收资本、（国有）资本公积、（国有）盈余公积、（国有）未分配利润、（国家所有的）其他权益。</w:t>
      </w:r>
    </w:p>
    <w:p>
      <w:pPr>
        <w:pStyle w:val="3"/>
        <w:spacing w:line="400" w:lineRule="exact"/>
        <w:ind w:firstLine="480"/>
        <w:rPr>
          <w:rFonts w:hint="eastAsia" w:hAnsi="宋体"/>
          <w:sz w:val="24"/>
        </w:rPr>
      </w:pPr>
      <w:r>
        <w:rPr>
          <w:rFonts w:hint="eastAsia" w:hAnsi="宋体"/>
          <w:sz w:val="24"/>
        </w:rPr>
        <w:t>（二）各行主要指标解释</w:t>
      </w:r>
    </w:p>
    <w:p>
      <w:pPr>
        <w:pStyle w:val="3"/>
        <w:spacing w:line="400" w:lineRule="exact"/>
        <w:ind w:firstLine="480"/>
        <w:rPr>
          <w:rFonts w:hint="eastAsia" w:hAnsi="宋体"/>
          <w:sz w:val="24"/>
        </w:rPr>
      </w:pPr>
      <w:r>
        <w:rPr>
          <w:rFonts w:hint="eastAsia" w:hAnsi="宋体"/>
          <w:sz w:val="24"/>
        </w:rPr>
        <w:t>1．“上年年末（国家）所有者权益数”：反映金融企业上年年末属于（国家）所有者权益的各项之和。其中调整增加和减少额应分别列示并在编报说明中注明原因。</w:t>
      </w:r>
    </w:p>
    <w:p>
      <w:pPr>
        <w:pStyle w:val="3"/>
        <w:spacing w:line="400" w:lineRule="exact"/>
        <w:ind w:firstLine="480"/>
        <w:rPr>
          <w:rFonts w:hint="eastAsia" w:hAnsi="宋体"/>
          <w:sz w:val="24"/>
        </w:rPr>
      </w:pPr>
      <w:r>
        <w:rPr>
          <w:rFonts w:hint="eastAsia" w:hAnsi="宋体"/>
          <w:sz w:val="24"/>
        </w:rPr>
        <w:t>执行新金融工具准则的企业，新旧准则转换产生对期初权益影响金额在调整增加或调整减少行填列。</w:t>
      </w:r>
    </w:p>
    <w:p>
      <w:pPr>
        <w:pStyle w:val="3"/>
        <w:spacing w:line="400" w:lineRule="exact"/>
        <w:ind w:firstLine="480"/>
        <w:rPr>
          <w:rFonts w:hint="eastAsia" w:hAnsi="宋体"/>
          <w:sz w:val="24"/>
        </w:rPr>
      </w:pPr>
      <w:r>
        <w:rPr>
          <w:rFonts w:hint="eastAsia" w:hAnsi="宋体"/>
          <w:sz w:val="24"/>
        </w:rPr>
        <w:t>2．“年初（国家）所有者权益数”、“年末（国家）所有者权益数”：分别反映年初、年末金融企业所有者权益各项之和。</w:t>
      </w:r>
    </w:p>
    <w:p>
      <w:pPr>
        <w:pStyle w:val="3"/>
        <w:spacing w:line="400" w:lineRule="exact"/>
        <w:ind w:firstLine="480"/>
        <w:rPr>
          <w:rFonts w:hint="eastAsia" w:hAnsi="宋体"/>
          <w:sz w:val="24"/>
        </w:rPr>
      </w:pPr>
      <w:r>
        <w:rPr>
          <w:rFonts w:hint="eastAsia" w:hAnsi="宋体"/>
          <w:sz w:val="24"/>
        </w:rPr>
        <w:t>3．“（国家）投资”：反映年度内（国家）对金融企业投入而增加的（国家）权益。</w:t>
      </w:r>
    </w:p>
    <w:p>
      <w:pPr>
        <w:pStyle w:val="3"/>
        <w:spacing w:line="400" w:lineRule="exact"/>
        <w:ind w:firstLine="480"/>
        <w:rPr>
          <w:rFonts w:hint="eastAsia" w:hAnsi="宋体"/>
          <w:sz w:val="24"/>
        </w:rPr>
      </w:pPr>
      <w:r>
        <w:rPr>
          <w:rFonts w:hint="eastAsia" w:hAnsi="宋体"/>
          <w:sz w:val="24"/>
        </w:rPr>
        <w:t>4．“无偿划入”、“无偿划出”：分别反映金融企业年度内按国家有关规定将其他企业（单位）的国有资产全部或部分划入，本企业（单位）资产全部或部分划出而造成（国有）资本及其权益增加、减少的数额。</w:t>
      </w:r>
    </w:p>
    <w:p>
      <w:pPr>
        <w:pStyle w:val="3"/>
        <w:spacing w:line="400" w:lineRule="exact"/>
        <w:ind w:firstLine="480"/>
        <w:rPr>
          <w:rFonts w:hint="eastAsia" w:hAnsi="宋体"/>
          <w:sz w:val="24"/>
        </w:rPr>
      </w:pPr>
      <w:r>
        <w:rPr>
          <w:rFonts w:hint="eastAsia" w:hAnsi="宋体"/>
          <w:sz w:val="24"/>
        </w:rPr>
        <w:t>5．“资产评估”：反映金融企业年度内按规定程序进行资产评估（包括对土地的评估）而造成（国有）资本公积增加、减少的数额。</w:t>
      </w:r>
    </w:p>
    <w:p>
      <w:pPr>
        <w:pStyle w:val="3"/>
        <w:spacing w:line="400" w:lineRule="exact"/>
        <w:ind w:firstLine="480"/>
        <w:rPr>
          <w:rFonts w:hint="eastAsia" w:hAnsi="宋体"/>
          <w:sz w:val="24"/>
        </w:rPr>
      </w:pPr>
      <w:r>
        <w:rPr>
          <w:rFonts w:hint="eastAsia" w:hAnsi="宋体"/>
          <w:sz w:val="24"/>
        </w:rPr>
        <w:t>6．“清产核资”：反映金融企业年度内按规定程序进行清产核资后，经财政部门批复而增加、减少（国家）权益的数额。</w:t>
      </w:r>
    </w:p>
    <w:p>
      <w:pPr>
        <w:pStyle w:val="3"/>
        <w:spacing w:line="400" w:lineRule="exact"/>
        <w:ind w:firstLine="480"/>
        <w:rPr>
          <w:rFonts w:hint="eastAsia" w:hAnsi="宋体"/>
          <w:sz w:val="24"/>
        </w:rPr>
      </w:pPr>
      <w:r>
        <w:rPr>
          <w:rFonts w:hint="eastAsia" w:hAnsi="宋体"/>
          <w:sz w:val="24"/>
        </w:rPr>
        <w:t>7．“产权界定”：反映金融企业年度内因产权界定增加、减少（国家）权益的数额。</w:t>
      </w:r>
    </w:p>
    <w:p>
      <w:pPr>
        <w:pStyle w:val="3"/>
        <w:spacing w:line="400" w:lineRule="exact"/>
        <w:ind w:firstLine="480"/>
        <w:rPr>
          <w:rFonts w:hint="eastAsia" w:hAnsi="宋体"/>
          <w:sz w:val="24"/>
        </w:rPr>
      </w:pPr>
      <w:r>
        <w:rPr>
          <w:rFonts w:hint="eastAsia" w:hAnsi="宋体"/>
          <w:sz w:val="24"/>
        </w:rPr>
        <w:t>8．“税收政策”：反映金融企业年度内按照国家有关税收政策而增加的（国家）权益。</w:t>
      </w:r>
      <w:r>
        <w:rPr>
          <w:rFonts w:hint="eastAsia" w:ascii="宋体" w:hAnsi="宋体"/>
          <w:sz w:val="24"/>
        </w:rPr>
        <w:t> </w:t>
      </w:r>
    </w:p>
    <w:p>
      <w:pPr>
        <w:pStyle w:val="3"/>
        <w:spacing w:line="400" w:lineRule="exact"/>
        <w:ind w:firstLine="480"/>
        <w:rPr>
          <w:rFonts w:hint="eastAsia" w:hAnsi="宋体"/>
          <w:sz w:val="24"/>
        </w:rPr>
      </w:pPr>
      <w:r>
        <w:rPr>
          <w:rFonts w:hint="eastAsia" w:hAnsi="宋体"/>
          <w:sz w:val="24"/>
        </w:rPr>
        <w:t>9．“资本（股票）溢价”：反映金融企业年度内由于资本（股票）溢价而影响（国家）权益增减变动的数额。</w:t>
      </w:r>
    </w:p>
    <w:p>
      <w:pPr>
        <w:pStyle w:val="3"/>
        <w:spacing w:line="400" w:lineRule="exact"/>
        <w:ind w:firstLine="480"/>
        <w:rPr>
          <w:rFonts w:hint="eastAsia" w:hAnsi="宋体"/>
          <w:sz w:val="24"/>
        </w:rPr>
      </w:pPr>
      <w:r>
        <w:rPr>
          <w:rFonts w:hint="eastAsia" w:hAnsi="宋体"/>
          <w:sz w:val="24"/>
        </w:rPr>
        <w:t>10．“会计调整”：反映金融企业因会计政策和会计估计发生重大变更、会计差错调整等原因，导致金融企业年度内经营成果发生重大变动而增加、减少的（国家）权益。</w:t>
      </w:r>
    </w:p>
    <w:p>
      <w:pPr>
        <w:pStyle w:val="3"/>
        <w:spacing w:line="400" w:lineRule="exact"/>
        <w:ind w:firstLine="480"/>
        <w:rPr>
          <w:rFonts w:hint="eastAsia" w:hAnsi="宋体"/>
          <w:sz w:val="24"/>
        </w:rPr>
      </w:pPr>
      <w:r>
        <w:rPr>
          <w:rFonts w:hint="eastAsia" w:hAnsi="宋体"/>
          <w:sz w:val="24"/>
        </w:rPr>
        <w:t>11．“政策性亏损”：反映金融企业年度内因承担国家政策性业务形成亏损并经财政部门认定而减少的（国家）权益。</w:t>
      </w:r>
    </w:p>
    <w:p>
      <w:pPr>
        <w:pStyle w:val="3"/>
        <w:spacing w:line="400" w:lineRule="exact"/>
        <w:ind w:firstLine="480"/>
        <w:rPr>
          <w:rFonts w:hint="eastAsia" w:hAnsi="宋体"/>
          <w:sz w:val="24"/>
        </w:rPr>
      </w:pPr>
      <w:r>
        <w:rPr>
          <w:rFonts w:hint="eastAsia" w:hAnsi="宋体"/>
          <w:sz w:val="24"/>
        </w:rPr>
        <w:t>12．“不可抗力”：反映金融企业年度内因自然灾害等不可抗拒因素而减少的（国家）权益。</w:t>
      </w:r>
    </w:p>
    <w:p>
      <w:pPr>
        <w:pStyle w:val="3"/>
        <w:spacing w:line="400" w:lineRule="exact"/>
        <w:ind w:firstLine="480"/>
        <w:rPr>
          <w:rFonts w:hint="eastAsia" w:hAnsi="宋体"/>
          <w:sz w:val="24"/>
        </w:rPr>
      </w:pPr>
      <w:r>
        <w:rPr>
          <w:rFonts w:hint="eastAsia" w:hAnsi="宋体"/>
          <w:sz w:val="24"/>
        </w:rPr>
        <w:t>13．“其他客观因素”：反映金融企业除上述所列客观增减因素以外的，经财政部门按照有关规定认定的其他客观因素而增加、减少的（国家）权益。主要包括其他因素引起的国有股权比例变动对（国家）权益的影响，如因股票发行对年初（国家）权益的稀释，以及金融企业国有股东减持等因素，确认为客观减少因素；金融企业国有股东增持等因素，确认为客观增加因素。其他因素对（国家）权益的影响，如金融企业年中分配股息红利以及捐赠支出，确认为客观减少因素；金融企业接受捐赠，确认为客观增加因素。</w:t>
      </w:r>
    </w:p>
    <w:p/>
    <w:sectPr>
      <w:footerReference r:id="rId3" w:type="default"/>
      <w:footerReference r:id="rId4" w:type="even"/>
      <w:pgSz w:w="11906" w:h="16838"/>
      <w:pgMar w:top="1440" w:right="1797" w:bottom="1440" w:left="1797" w:header="851" w:footer="992" w:gutter="0"/>
      <w:pgNumType w:start="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39</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B1"/>
    <w:rsid w:val="0008637C"/>
    <w:rsid w:val="000B3F33"/>
    <w:rsid w:val="000D5C3F"/>
    <w:rsid w:val="00134E64"/>
    <w:rsid w:val="001566AD"/>
    <w:rsid w:val="00156B5A"/>
    <w:rsid w:val="0020470A"/>
    <w:rsid w:val="00223824"/>
    <w:rsid w:val="00241840"/>
    <w:rsid w:val="00252396"/>
    <w:rsid w:val="00255A54"/>
    <w:rsid w:val="00281901"/>
    <w:rsid w:val="002C0459"/>
    <w:rsid w:val="00310D6F"/>
    <w:rsid w:val="003342E7"/>
    <w:rsid w:val="003501AE"/>
    <w:rsid w:val="0036689E"/>
    <w:rsid w:val="003876D7"/>
    <w:rsid w:val="004245D9"/>
    <w:rsid w:val="00441A6B"/>
    <w:rsid w:val="00445AA1"/>
    <w:rsid w:val="00465B8B"/>
    <w:rsid w:val="00467C6C"/>
    <w:rsid w:val="004C596F"/>
    <w:rsid w:val="004C6305"/>
    <w:rsid w:val="004D610D"/>
    <w:rsid w:val="005232F0"/>
    <w:rsid w:val="00527AA3"/>
    <w:rsid w:val="00537604"/>
    <w:rsid w:val="00567A40"/>
    <w:rsid w:val="005A21CA"/>
    <w:rsid w:val="005A4846"/>
    <w:rsid w:val="005B4ABB"/>
    <w:rsid w:val="005D21B8"/>
    <w:rsid w:val="006166AD"/>
    <w:rsid w:val="00664920"/>
    <w:rsid w:val="006806E4"/>
    <w:rsid w:val="006923D0"/>
    <w:rsid w:val="006B5B9F"/>
    <w:rsid w:val="006D2CA3"/>
    <w:rsid w:val="006E47CD"/>
    <w:rsid w:val="00700DE5"/>
    <w:rsid w:val="007315C8"/>
    <w:rsid w:val="00757E9D"/>
    <w:rsid w:val="007826B3"/>
    <w:rsid w:val="00791EE5"/>
    <w:rsid w:val="007B4B83"/>
    <w:rsid w:val="007B67BE"/>
    <w:rsid w:val="007C0A28"/>
    <w:rsid w:val="007C3137"/>
    <w:rsid w:val="007C693F"/>
    <w:rsid w:val="007E6B65"/>
    <w:rsid w:val="00807B37"/>
    <w:rsid w:val="00856C2D"/>
    <w:rsid w:val="00865757"/>
    <w:rsid w:val="00886D7E"/>
    <w:rsid w:val="00897ADF"/>
    <w:rsid w:val="008D3D58"/>
    <w:rsid w:val="00913816"/>
    <w:rsid w:val="00922EF8"/>
    <w:rsid w:val="009572BD"/>
    <w:rsid w:val="00985051"/>
    <w:rsid w:val="009D08AD"/>
    <w:rsid w:val="009E2311"/>
    <w:rsid w:val="00A34147"/>
    <w:rsid w:val="00A42294"/>
    <w:rsid w:val="00AA14BD"/>
    <w:rsid w:val="00B35B62"/>
    <w:rsid w:val="00B360FE"/>
    <w:rsid w:val="00B71045"/>
    <w:rsid w:val="00B83285"/>
    <w:rsid w:val="00BC5ABE"/>
    <w:rsid w:val="00C22A23"/>
    <w:rsid w:val="00C244DF"/>
    <w:rsid w:val="00C27A59"/>
    <w:rsid w:val="00C410DF"/>
    <w:rsid w:val="00CB70E9"/>
    <w:rsid w:val="00CC6EBC"/>
    <w:rsid w:val="00CE7879"/>
    <w:rsid w:val="00CF7135"/>
    <w:rsid w:val="00D143F1"/>
    <w:rsid w:val="00D15CE2"/>
    <w:rsid w:val="00D30919"/>
    <w:rsid w:val="00D47A64"/>
    <w:rsid w:val="00D67636"/>
    <w:rsid w:val="00D85D63"/>
    <w:rsid w:val="00D93BD6"/>
    <w:rsid w:val="00DA0DFA"/>
    <w:rsid w:val="00DF0F0C"/>
    <w:rsid w:val="00E24253"/>
    <w:rsid w:val="00E344F4"/>
    <w:rsid w:val="00E36777"/>
    <w:rsid w:val="00E578D4"/>
    <w:rsid w:val="00E779B1"/>
    <w:rsid w:val="00EC0CA2"/>
    <w:rsid w:val="00EC251D"/>
    <w:rsid w:val="00ED7D36"/>
    <w:rsid w:val="00F508C7"/>
    <w:rsid w:val="00F811DF"/>
    <w:rsid w:val="00F8669F"/>
    <w:rsid w:val="00F93E5E"/>
    <w:rsid w:val="00FA01DA"/>
    <w:rsid w:val="00FA3369"/>
    <w:rsid w:val="00FF21BC"/>
    <w:rsid w:val="0D183E3D"/>
    <w:rsid w:val="4EB6068B"/>
    <w:rsid w:val="6F851F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link w:val="11"/>
    <w:semiHidden/>
    <w:uiPriority w:val="0"/>
    <w:pPr>
      <w:ind w:firstLine="600" w:firstLineChars="20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semiHidden/>
    <w:uiPriority w:val="0"/>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after="100"/>
      <w:jc w:val="left"/>
    </w:pPr>
    <w:rPr>
      <w:rFonts w:ascii="宋体" w:hAnsi="宋体"/>
      <w:kern w:val="0"/>
      <w:sz w:val="24"/>
      <w:szCs w:val="20"/>
    </w:rPr>
  </w:style>
  <w:style w:type="character" w:styleId="10">
    <w:name w:val="page number"/>
    <w:basedOn w:val="9"/>
    <w:semiHidden/>
    <w:uiPriority w:val="0"/>
  </w:style>
  <w:style w:type="character" w:customStyle="1" w:styleId="11">
    <w:name w:val="正文文本缩进 Char"/>
    <w:basedOn w:val="9"/>
    <w:link w:val="3"/>
    <w:semiHidden/>
    <w:uiPriority w:val="0"/>
    <w:rPr>
      <w:rFonts w:ascii="仿宋_GB2312" w:eastAsia="仿宋_GB2312"/>
      <w:kern w:val="2"/>
      <w:sz w:val="30"/>
      <w:szCs w:val="24"/>
    </w:rPr>
  </w:style>
  <w:style w:type="character" w:customStyle="1" w:styleId="12">
    <w:name w:val="页眉 字符"/>
    <w:link w:val="6"/>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北京久其软件股份有限公司</Company>
  <Pages>2</Pages>
  <Words>192</Words>
  <Characters>1101</Characters>
  <Lines>9</Lines>
  <Paragraphs>2</Paragraphs>
  <TotalTime>0</TotalTime>
  <ScaleCrop>false</ScaleCrop>
  <LinksUpToDate>false</LinksUpToDate>
  <CharactersWithSpaces>1291</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2008-11-26T06:16:00Z</dcterms:created>
  <dc:creator>MC SYSTEM</dc:creator>
  <cp:lastModifiedBy>Pannie</cp:lastModifiedBy>
  <cp:lastPrinted>2019-01-09T09:23:36Z</cp:lastPrinted>
  <dcterms:modified xsi:type="dcterms:W3CDTF">2021-04-06T08:02:50Z</dcterms:modified>
  <dc:title>附件5：（国有）保值增值情况表编制说明</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947A7EABB615452994E332CA023283C7</vt:lpwstr>
  </property>
</Properties>
</file>