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88" w:lineRule="auto"/>
        <w:ind w:firstLine="0" w:firstLineChars="0"/>
        <w:contextualSpacing/>
        <w:jc w:val="center"/>
        <w:rPr>
          <w:rFonts w:hint="eastAsia" w:ascii="方正小标宋简体" w:eastAsia="方正小标宋简体"/>
          <w:sz w:val="44"/>
          <w:szCs w:val="44"/>
          <w:lang w:eastAsia="zh-CN"/>
        </w:rPr>
      </w:pPr>
      <w:bookmarkStart w:id="0" w:name="标题"/>
      <w:r>
        <w:rPr>
          <w:rFonts w:hint="eastAsia" w:ascii="方正小标宋简体" w:eastAsia="方正小标宋简体"/>
          <w:sz w:val="44"/>
          <w:szCs w:val="44"/>
          <w:lang w:eastAsia="zh-CN"/>
        </w:rPr>
        <w:t>政府采购投诉处理决定书</w:t>
      </w:r>
      <w:bookmarkEnd w:id="0"/>
    </w:p>
    <w:p>
      <w:pPr>
        <w:spacing w:before="462" w:beforeLines="150" w:line="360" w:lineRule="auto"/>
        <w:ind w:firstLine="157"/>
        <w:contextualSpacing/>
        <w:jc w:val="center"/>
        <w:rPr>
          <w:rFonts w:hint="eastAsia" w:ascii="仿宋_GB2312" w:eastAsia="仿宋_GB2312"/>
          <w:color w:val="000000"/>
          <w:sz w:val="32"/>
          <w:szCs w:val="32"/>
          <w:lang w:eastAsia="zh-CN"/>
        </w:rPr>
      </w:pPr>
      <w:bookmarkStart w:id="1" w:name="文号的完整"/>
      <w:r>
        <w:rPr>
          <w:rFonts w:hint="eastAsia" w:ascii="仿宋_GB2312" w:eastAsia="仿宋_GB2312"/>
          <w:color w:val="000000"/>
          <w:sz w:val="32"/>
          <w:szCs w:val="32"/>
          <w:lang w:eastAsia="zh-CN"/>
        </w:rPr>
        <w:t>粤财采决〔2021〕17号</w:t>
      </w:r>
      <w:bookmarkEnd w:id="1"/>
    </w:p>
    <w:p>
      <w:pPr>
        <w:rPr>
          <w:rFonts w:hint="eastAsia"/>
          <w:lang w:eastAsia="zh-CN"/>
        </w:rPr>
      </w:pPr>
    </w:p>
    <w:p>
      <w:pPr>
        <w:snapToGrid w:val="0"/>
        <w:spacing w:line="360" w:lineRule="auto"/>
        <w:ind w:firstLine="640" w:firstLineChars="200"/>
        <w:rPr>
          <w:rFonts w:hint="eastAsia" w:ascii="仿宋_GB2312" w:hAnsi="仿宋_GB2312" w:eastAsia="仿宋_GB2312" w:cs="仿宋_GB2312"/>
          <w:sz w:val="32"/>
          <w:szCs w:val="32"/>
          <w:lang w:eastAsia="zh-CN"/>
        </w:rPr>
      </w:pPr>
      <w:bookmarkStart w:id="2" w:name="Content"/>
      <w:bookmarkEnd w:id="2"/>
      <w:r>
        <w:rPr>
          <w:rFonts w:hint="eastAsia" w:ascii="仿宋_GB2312" w:hAnsi="仿宋_GB2312" w:eastAsia="仿宋_GB2312" w:cs="仿宋_GB2312"/>
          <w:sz w:val="32"/>
          <w:szCs w:val="32"/>
        </w:rPr>
        <w:t>投诉人：</w:t>
      </w:r>
      <w:r>
        <w:rPr>
          <w:rFonts w:hint="eastAsia" w:ascii="仿宋_GB2312" w:hAnsi="宋体" w:eastAsia="仿宋_GB2312" w:cs="仿宋_GB2312"/>
          <w:color w:val="000000"/>
          <w:sz w:val="32"/>
          <w:szCs w:val="32"/>
        </w:rPr>
        <w:t>江西阳光安全设备集团有限公司</w:t>
      </w:r>
      <w:r>
        <w:rPr>
          <w:rFonts w:hint="eastAsia" w:ascii="仿宋_GB2312" w:hAnsi="宋体" w:eastAsia="仿宋_GB2312" w:cs="仿宋_GB2312"/>
          <w:color w:val="000000"/>
          <w:sz w:val="32"/>
          <w:szCs w:val="32"/>
          <w:lang w:eastAsia="zh-CN"/>
        </w:rPr>
        <w:t>（以下称投诉人）</w:t>
      </w:r>
    </w:p>
    <w:p>
      <w:pPr>
        <w:snapToGrid w:val="0"/>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地址：</w:t>
      </w:r>
      <w:r>
        <w:rPr>
          <w:rFonts w:hint="eastAsia" w:ascii="仿宋_GB2312" w:hAnsi="仿宋_GB2312" w:eastAsia="仿宋_GB2312" w:cs="仿宋_GB2312"/>
          <w:sz w:val="32"/>
          <w:szCs w:val="32"/>
          <w:lang w:val="en-US" w:eastAsia="zh-CN"/>
        </w:rPr>
        <w:t>江西省樟树市四特大道305号</w:t>
      </w:r>
    </w:p>
    <w:p>
      <w:pPr>
        <w:snapToGrid w:val="0"/>
        <w:spacing w:line="360" w:lineRule="auto"/>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法定代表人：</w:t>
      </w:r>
      <w:r>
        <w:rPr>
          <w:rFonts w:hint="eastAsia" w:ascii="仿宋_GB2312" w:hAnsi="仿宋_GB2312" w:eastAsia="仿宋_GB2312" w:cs="仿宋_GB2312"/>
          <w:sz w:val="32"/>
          <w:szCs w:val="32"/>
          <w:lang w:val="en-US" w:eastAsia="zh-CN"/>
        </w:rPr>
        <w:t>张建平</w:t>
      </w:r>
      <w:bookmarkStart w:id="3" w:name="_GoBack"/>
      <w:bookmarkEnd w:id="3"/>
    </w:p>
    <w:p>
      <w:pPr>
        <w:snapToGrid w:val="0"/>
        <w:spacing w:line="360" w:lineRule="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委托代理人：</w:t>
      </w:r>
      <w:r>
        <w:rPr>
          <w:rFonts w:hint="eastAsia" w:ascii="仿宋_GB2312" w:hAnsi="仿宋_GB2312" w:eastAsia="仿宋_GB2312" w:cs="仿宋_GB2312"/>
          <w:sz w:val="32"/>
          <w:szCs w:val="32"/>
          <w:lang w:eastAsia="zh-CN"/>
        </w:rPr>
        <w:t>刘健</w:t>
      </w:r>
    </w:p>
    <w:p>
      <w:pPr>
        <w:pStyle w:val="6"/>
        <w:snapToGrid w:val="0"/>
        <w:rPr>
          <w:rFonts w:hint="eastAsia" w:ascii="仿宋_GB2312" w:hAnsi="仿宋_GB2312" w:eastAsia="仿宋_GB2312" w:cs="仿宋_GB2312"/>
          <w:sz w:val="32"/>
          <w:szCs w:val="32"/>
        </w:rPr>
      </w:pPr>
    </w:p>
    <w:p>
      <w:pPr>
        <w:snapToGrid w:val="0"/>
        <w:spacing w:line="360" w:lineRule="auto"/>
        <w:ind w:firstLine="640" w:firstLineChars="200"/>
        <w:rPr>
          <w:rFonts w:hint="eastAsia" w:ascii="仿宋_GB2312" w:hAnsi="宋体" w:eastAsia="仿宋_GB2312" w:cs="仿宋_GB2312"/>
          <w:color w:val="000000"/>
          <w:sz w:val="32"/>
          <w:szCs w:val="32"/>
          <w:lang w:val="en-US" w:eastAsia="zh-CN"/>
        </w:rPr>
      </w:pPr>
      <w:r>
        <w:rPr>
          <w:rFonts w:hint="default" w:ascii="仿宋_GB2312" w:hAnsi="仿宋_GB2312" w:eastAsia="仿宋_GB2312" w:cs="仿宋_GB2312"/>
          <w:sz w:val="32"/>
          <w:szCs w:val="32"/>
        </w:rPr>
        <w:t>被投</w:t>
      </w:r>
      <w:r>
        <w:rPr>
          <w:rFonts w:hint="eastAsia" w:ascii="仿宋_GB2312" w:hAnsi="宋体" w:eastAsia="仿宋_GB2312" w:cs="仿宋_GB2312"/>
          <w:color w:val="000000"/>
          <w:sz w:val="32"/>
          <w:szCs w:val="32"/>
        </w:rPr>
        <w:t>诉人</w:t>
      </w:r>
      <w:r>
        <w:rPr>
          <w:rFonts w:hint="eastAsia" w:ascii="仿宋_GB2312" w:hAnsi="宋体" w:eastAsia="仿宋_GB2312" w:cs="仿宋_GB2312"/>
          <w:color w:val="000000"/>
          <w:sz w:val="32"/>
          <w:szCs w:val="32"/>
          <w:lang w:val="en-US" w:eastAsia="zh-CN"/>
        </w:rPr>
        <w:t>1</w:t>
      </w:r>
      <w:r>
        <w:rPr>
          <w:rFonts w:hint="eastAsia" w:ascii="仿宋_GB2312" w:hAnsi="宋体" w:eastAsia="仿宋_GB2312" w:cs="仿宋_GB2312"/>
          <w:color w:val="000000"/>
          <w:sz w:val="32"/>
          <w:szCs w:val="32"/>
        </w:rPr>
        <w:t>：</w:t>
      </w:r>
      <w:r>
        <w:rPr>
          <w:rFonts w:hint="eastAsia" w:ascii="仿宋_GB2312" w:hAnsi="宋体" w:eastAsia="仿宋_GB2312" w:cs="仿宋_GB2312"/>
          <w:i w:val="0"/>
          <w:iCs w:val="0"/>
          <w:caps w:val="0"/>
          <w:color w:val="000000"/>
          <w:spacing w:val="0"/>
          <w:sz w:val="32"/>
          <w:szCs w:val="32"/>
          <w:shd w:val="clear" w:color="auto" w:fill="auto"/>
        </w:rPr>
        <w:t>广东金融学院</w:t>
      </w:r>
      <w:r>
        <w:rPr>
          <w:rFonts w:hint="eastAsia" w:ascii="仿宋_GB2312" w:hAnsi="宋体" w:eastAsia="仿宋_GB2312" w:cs="仿宋_GB2312"/>
          <w:i w:val="0"/>
          <w:iCs w:val="0"/>
          <w:caps w:val="0"/>
          <w:color w:val="000000"/>
          <w:spacing w:val="0"/>
          <w:sz w:val="32"/>
          <w:szCs w:val="32"/>
          <w:shd w:val="clear" w:color="auto" w:fill="auto"/>
          <w:lang w:eastAsia="zh-CN"/>
        </w:rPr>
        <w:t>（以下称采购人）</w:t>
      </w:r>
    </w:p>
    <w:p>
      <w:pPr>
        <w:widowControl/>
        <w:snapToGrid w:val="0"/>
        <w:spacing w:line="360" w:lineRule="auto"/>
        <w:ind w:firstLine="640" w:firstLineChars="200"/>
        <w:jc w:val="left"/>
        <w:rPr>
          <w:rFonts w:hint="eastAsia" w:ascii="仿宋_GB2312" w:hAnsi="宋体" w:eastAsia="仿宋_GB2312" w:cs="仿宋_GB2312"/>
          <w:i w:val="0"/>
          <w:iCs w:val="0"/>
          <w:caps w:val="0"/>
          <w:color w:val="000000"/>
          <w:spacing w:val="0"/>
          <w:sz w:val="32"/>
          <w:szCs w:val="32"/>
          <w:shd w:val="clear" w:color="auto" w:fill="auto"/>
        </w:rPr>
      </w:pPr>
      <w:r>
        <w:rPr>
          <w:rFonts w:hint="eastAsia" w:ascii="仿宋_GB2312" w:hAnsi="宋体" w:eastAsia="仿宋_GB2312" w:cs="仿宋_GB2312"/>
          <w:color w:val="000000"/>
          <w:sz w:val="32"/>
          <w:szCs w:val="32"/>
          <w:lang w:val="en-US" w:eastAsia="zh-CN"/>
        </w:rPr>
        <w:t>地址：</w:t>
      </w:r>
      <w:r>
        <w:rPr>
          <w:rFonts w:hint="eastAsia" w:ascii="仿宋_GB2312" w:hAnsi="宋体" w:eastAsia="仿宋_GB2312" w:cs="仿宋_GB2312"/>
          <w:i w:val="0"/>
          <w:iCs w:val="0"/>
          <w:caps w:val="0"/>
          <w:color w:val="000000"/>
          <w:spacing w:val="0"/>
          <w:sz w:val="32"/>
          <w:szCs w:val="32"/>
          <w:shd w:val="clear" w:color="auto" w:fill="auto"/>
        </w:rPr>
        <w:t>广州市天河区沙河龙洞广东金融学院</w:t>
      </w:r>
    </w:p>
    <w:p>
      <w:pPr>
        <w:pStyle w:val="6"/>
        <w:snapToGrid w:val="0"/>
        <w:rPr>
          <w:rFonts w:hint="default" w:ascii="仿宋_GB2312" w:hAnsi="仿宋_GB2312" w:eastAsia="仿宋_GB2312" w:cs="仿宋_GB2312"/>
          <w:i w:val="0"/>
          <w:iCs w:val="0"/>
          <w:caps w:val="0"/>
          <w:color w:val="000000"/>
          <w:spacing w:val="0"/>
          <w:sz w:val="32"/>
          <w:szCs w:val="32"/>
          <w:shd w:val="clear" w:color="auto" w:fill="auto"/>
        </w:rPr>
      </w:pPr>
    </w:p>
    <w:p>
      <w:pPr>
        <w:widowControl/>
        <w:snapToGrid w:val="0"/>
        <w:spacing w:line="360" w:lineRule="auto"/>
        <w:ind w:firstLine="640" w:firstLineChars="200"/>
        <w:jc w:val="left"/>
        <w:rPr>
          <w:rFonts w:hint="eastAsia" w:ascii="仿宋_GB2312" w:hAnsi="宋体" w:eastAsia="仿宋_GB2312" w:cs="仿宋_GB2312"/>
          <w:i w:val="0"/>
          <w:iCs w:val="0"/>
          <w:caps w:val="0"/>
          <w:color w:val="000000"/>
          <w:spacing w:val="0"/>
          <w:sz w:val="32"/>
          <w:szCs w:val="32"/>
          <w:shd w:val="clear" w:color="auto" w:fill="auto"/>
          <w:lang w:eastAsia="zh-CN"/>
        </w:rPr>
      </w:pPr>
      <w:r>
        <w:rPr>
          <w:rFonts w:hint="default" w:ascii="仿宋_GB2312" w:hAnsi="仿宋_GB2312" w:eastAsia="仿宋_GB2312" w:cs="仿宋_GB2312"/>
          <w:sz w:val="32"/>
          <w:szCs w:val="32"/>
        </w:rPr>
        <w:t>被投诉</w:t>
      </w:r>
      <w:r>
        <w:rPr>
          <w:rFonts w:hint="eastAsia" w:ascii="仿宋_GB2312" w:hAnsi="宋体" w:eastAsia="仿宋_GB2312" w:cs="仿宋_GB2312"/>
          <w:color w:val="000000"/>
          <w:sz w:val="32"/>
          <w:szCs w:val="32"/>
        </w:rPr>
        <w:t>人</w:t>
      </w:r>
      <w:r>
        <w:rPr>
          <w:rFonts w:hint="eastAsia" w:ascii="仿宋_GB2312" w:hAnsi="宋体" w:eastAsia="仿宋_GB2312" w:cs="仿宋_GB2312"/>
          <w:i w:val="0"/>
          <w:iCs w:val="0"/>
          <w:caps w:val="0"/>
          <w:color w:val="000000"/>
          <w:spacing w:val="0"/>
          <w:sz w:val="32"/>
          <w:szCs w:val="32"/>
          <w:shd w:val="clear" w:color="auto" w:fill="auto"/>
          <w:lang w:val="en-US" w:eastAsia="zh-CN"/>
        </w:rPr>
        <w:t>2：</w:t>
      </w:r>
      <w:r>
        <w:rPr>
          <w:rFonts w:hint="eastAsia" w:ascii="仿宋_GB2312" w:hAnsi="宋体" w:eastAsia="仿宋_GB2312" w:cs="仿宋_GB2312"/>
          <w:i w:val="0"/>
          <w:iCs w:val="0"/>
          <w:caps w:val="0"/>
          <w:color w:val="000000"/>
          <w:spacing w:val="0"/>
          <w:sz w:val="32"/>
          <w:szCs w:val="32"/>
          <w:shd w:val="clear" w:color="auto" w:fill="auto"/>
        </w:rPr>
        <w:t>广州顺为招标采购有限公司</w:t>
      </w:r>
      <w:r>
        <w:rPr>
          <w:rFonts w:hint="eastAsia" w:ascii="仿宋_GB2312" w:hAnsi="宋体" w:eastAsia="仿宋_GB2312" w:cs="仿宋_GB2312"/>
          <w:i w:val="0"/>
          <w:iCs w:val="0"/>
          <w:caps w:val="0"/>
          <w:color w:val="000000"/>
          <w:spacing w:val="0"/>
          <w:sz w:val="32"/>
          <w:szCs w:val="32"/>
          <w:shd w:val="clear" w:color="auto" w:fill="auto"/>
          <w:lang w:eastAsia="zh-CN"/>
        </w:rPr>
        <w:t>（以下称采购代理机构）</w:t>
      </w:r>
    </w:p>
    <w:p>
      <w:pPr>
        <w:snapToGrid w:val="0"/>
        <w:spacing w:line="360" w:lineRule="auto"/>
        <w:ind w:left="0" w:firstLine="640" w:firstLineChars="200"/>
        <w:rPr>
          <w:rFonts w:hint="eastAsia" w:ascii="仿宋_GB2312" w:hAnsi="宋体" w:eastAsia="仿宋_GB2312" w:cs="仿宋_GB2312"/>
          <w:i w:val="0"/>
          <w:iCs w:val="0"/>
          <w:caps w:val="0"/>
          <w:color w:val="000000"/>
          <w:spacing w:val="0"/>
          <w:sz w:val="32"/>
          <w:szCs w:val="32"/>
          <w:shd w:val="clear" w:color="auto" w:fill="auto"/>
          <w:lang w:val="en-US" w:eastAsia="zh-CN"/>
        </w:rPr>
      </w:pPr>
      <w:r>
        <w:rPr>
          <w:rFonts w:hint="eastAsia" w:ascii="仿宋_GB2312" w:hAnsi="宋体" w:eastAsia="仿宋_GB2312" w:cs="仿宋_GB2312"/>
          <w:i w:val="0"/>
          <w:iCs w:val="0"/>
          <w:caps w:val="0"/>
          <w:color w:val="000000"/>
          <w:spacing w:val="0"/>
          <w:kern w:val="2"/>
          <w:sz w:val="32"/>
          <w:szCs w:val="32"/>
          <w:shd w:val="clear" w:color="auto" w:fill="auto"/>
          <w:lang w:val="en-US" w:eastAsia="zh-CN"/>
        </w:rPr>
        <w:t>地址：</w:t>
      </w:r>
      <w:r>
        <w:rPr>
          <w:rFonts w:hint="eastAsia" w:ascii="仿宋_GB2312" w:hAnsi="宋体" w:eastAsia="仿宋_GB2312" w:cs="仿宋_GB2312"/>
          <w:i w:val="0"/>
          <w:iCs w:val="0"/>
          <w:caps w:val="0"/>
          <w:color w:val="000000"/>
          <w:spacing w:val="0"/>
          <w:sz w:val="32"/>
          <w:szCs w:val="32"/>
          <w:shd w:val="clear" w:color="auto" w:fill="FFFFFF"/>
        </w:rPr>
        <w:t>广东省广州市越秀区环市中路205号自编B501-B505、B512-B525房</w:t>
      </w:r>
    </w:p>
    <w:p>
      <w:pPr>
        <w:snapToGrid w:val="0"/>
        <w:spacing w:line="360" w:lineRule="auto"/>
        <w:ind w:left="0" w:firstLine="640" w:firstLineChars="0"/>
        <w:rPr>
          <w:rFonts w:hint="default" w:ascii="仿宋_GB2312" w:hAnsi="宋体" w:eastAsia="仿宋_GB2312" w:cs="仿宋_GB2312"/>
          <w:b w:val="0"/>
          <w:bCs w:val="0"/>
          <w:color w:val="000000"/>
          <w:kern w:val="2"/>
          <w:sz w:val="32"/>
          <w:szCs w:val="32"/>
          <w:shd w:val="clear" w:color="auto" w:fill="auto"/>
          <w:lang w:val="en-US" w:eastAsia="zh-CN" w:bidi="ar-SA"/>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p>
    <w:p>
      <w:pPr>
        <w:widowControl/>
        <w:snapToGrid w:val="0"/>
        <w:spacing w:line="360" w:lineRule="auto"/>
        <w:ind w:firstLine="640" w:firstLineChars="200"/>
        <w:jc w:val="left"/>
        <w:rPr>
          <w:rFonts w:hint="eastAsia" w:ascii="仿宋_GB2312" w:hAnsi="仿宋_GB2312" w:eastAsia="仿宋_GB2312" w:cs="仿宋_GB2312"/>
          <w:b w:val="0"/>
          <w:bCs w:val="0"/>
          <w:kern w:val="2"/>
          <w:sz w:val="32"/>
          <w:szCs w:val="32"/>
          <w:shd w:val="clear" w:color="auto" w:fill="auto"/>
          <w:lang w:val="en-US" w:eastAsia="zh-CN" w:bidi="ar-SA"/>
        </w:rPr>
      </w:pPr>
      <w:r>
        <w:rPr>
          <w:rFonts w:hint="eastAsia" w:ascii="仿宋_GB2312" w:hAnsi="仿宋_GB2312" w:eastAsia="仿宋_GB2312" w:cs="仿宋_GB2312"/>
          <w:sz w:val="32"/>
          <w:szCs w:val="32"/>
        </w:rPr>
        <w:t>投诉人</w:t>
      </w:r>
      <w:r>
        <w:rPr>
          <w:rFonts w:hint="eastAsia" w:ascii="仿宋_GB2312" w:hAnsi="仿宋_GB2312" w:eastAsia="仿宋_GB2312" w:cs="仿宋_GB2312"/>
          <w:b w:val="0"/>
          <w:bCs w:val="0"/>
          <w:kern w:val="2"/>
          <w:sz w:val="32"/>
          <w:szCs w:val="32"/>
          <w:shd w:val="clear" w:color="auto" w:fill="auto"/>
          <w:lang w:val="en-US" w:eastAsia="zh-CN" w:bidi="ar-SA"/>
        </w:rPr>
        <w:t>因对</w:t>
      </w:r>
      <w:r>
        <w:rPr>
          <w:rFonts w:hint="eastAsia" w:ascii="仿宋_GB2312" w:hAnsi="仿宋_GB2312" w:eastAsia="仿宋_GB2312" w:cs="仿宋_GB2312"/>
          <w:sz w:val="32"/>
          <w:szCs w:val="32"/>
          <w:lang w:val="en-US" w:eastAsia="zh-CN"/>
        </w:rPr>
        <w:t>采购代理机构</w:t>
      </w:r>
      <w:r>
        <w:rPr>
          <w:rFonts w:hint="eastAsia" w:ascii="仿宋_GB2312" w:hAnsi="仿宋_GB2312" w:eastAsia="仿宋_GB2312" w:cs="仿宋_GB2312"/>
          <w:i w:val="0"/>
          <w:iCs w:val="0"/>
          <w:caps w:val="0"/>
          <w:spacing w:val="0"/>
          <w:sz w:val="32"/>
          <w:szCs w:val="32"/>
          <w:shd w:val="clear" w:color="auto" w:fill="auto"/>
          <w:lang w:val="en-US" w:eastAsia="zh-CN"/>
        </w:rPr>
        <w:t>就</w:t>
      </w:r>
      <w:r>
        <w:rPr>
          <w:rFonts w:hint="eastAsia" w:ascii="仿宋_GB2312" w:hAnsi="宋体" w:eastAsia="仿宋_GB2312" w:cs="仿宋_GB2312"/>
          <w:color w:val="000000"/>
          <w:sz w:val="32"/>
          <w:szCs w:val="32"/>
        </w:rPr>
        <w:t>“</w:t>
      </w:r>
      <w:r>
        <w:rPr>
          <w:rFonts w:hint="eastAsia" w:ascii="仿宋_GB2312" w:hAnsi="仿宋_GB2312" w:eastAsia="仿宋_GB2312" w:cs="仿宋_GB2312"/>
          <w:sz w:val="32"/>
          <w:szCs w:val="32"/>
        </w:rPr>
        <w:t>清远校区图书馆家具采购项目</w:t>
      </w:r>
      <w:r>
        <w:rPr>
          <w:rFonts w:hint="eastAsia" w:ascii="仿宋_GB2312" w:hAnsi="宋体" w:eastAsia="仿宋_GB2312" w:cs="仿宋_GB2312"/>
          <w:color w:val="000000"/>
          <w:sz w:val="32"/>
          <w:szCs w:val="32"/>
        </w:rPr>
        <w:t>”(项目编号：</w:t>
      </w:r>
      <w:r>
        <w:rPr>
          <w:rFonts w:hint="eastAsia" w:ascii="仿宋_GB2312" w:hAnsi="仿宋_GB2312" w:eastAsia="仿宋_GB2312" w:cs="仿宋_GB2312"/>
          <w:sz w:val="32"/>
          <w:szCs w:val="32"/>
        </w:rPr>
        <w:t>GZSW21156HG2092</w:t>
      </w:r>
      <w:r>
        <w:rPr>
          <w:rFonts w:hint="eastAsia" w:ascii="仿宋_GB2312" w:hAnsi="宋体" w:eastAsia="仿宋_GB2312" w:cs="仿宋_GB2312"/>
          <w:color w:val="000000"/>
          <w:sz w:val="32"/>
          <w:szCs w:val="32"/>
        </w:rPr>
        <w:t>)</w:t>
      </w:r>
      <w:r>
        <w:rPr>
          <w:rFonts w:hint="eastAsia" w:ascii="仿宋_GB2312" w:hAnsi="仿宋_GB2312" w:eastAsia="仿宋_GB2312" w:cs="仿宋_GB2312"/>
          <w:b w:val="0"/>
          <w:bCs w:val="0"/>
          <w:kern w:val="2"/>
          <w:sz w:val="32"/>
          <w:szCs w:val="32"/>
          <w:shd w:val="clear" w:color="auto" w:fill="auto"/>
          <w:lang w:val="en-US" w:eastAsia="zh-CN" w:bidi="ar-SA"/>
        </w:rPr>
        <w:t>作出的质疑答复不满意，向本机关提起投诉。本机关于</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年</w:t>
      </w:r>
      <w:r>
        <w:rPr>
          <w:rFonts w:hint="eastAsia" w:ascii="仿宋_GB2312" w:hAnsi="仿宋_GB2312" w:eastAsia="仿宋_GB2312" w:cs="仿宋_GB2312"/>
          <w:color w:val="000000"/>
          <w:sz w:val="32"/>
          <w:szCs w:val="32"/>
        </w:rPr>
        <w:t>10月12日</w:t>
      </w:r>
      <w:r>
        <w:rPr>
          <w:rFonts w:hint="eastAsia" w:ascii="仿宋_GB2312" w:hAnsi="仿宋_GB2312" w:eastAsia="仿宋_GB2312" w:cs="仿宋_GB2312"/>
          <w:b w:val="0"/>
          <w:bCs w:val="0"/>
          <w:sz w:val="32"/>
          <w:szCs w:val="32"/>
          <w:shd w:val="clear" w:color="auto" w:fill="auto"/>
          <w:lang w:val="en-US" w:eastAsia="zh-CN"/>
        </w:rPr>
        <w:t>依法</w:t>
      </w:r>
      <w:r>
        <w:rPr>
          <w:rFonts w:hint="eastAsia" w:ascii="仿宋_GB2312" w:hAnsi="仿宋_GB2312" w:eastAsia="仿宋_GB2312" w:cs="仿宋_GB2312"/>
          <w:b w:val="0"/>
          <w:bCs w:val="0"/>
          <w:kern w:val="2"/>
          <w:sz w:val="32"/>
          <w:szCs w:val="32"/>
          <w:shd w:val="clear" w:color="auto" w:fill="auto"/>
          <w:lang w:val="en-US" w:eastAsia="zh-CN" w:bidi="ar-SA"/>
        </w:rPr>
        <w:t>予以受理。经调查，现已办理终结。</w:t>
      </w:r>
    </w:p>
    <w:p>
      <w:pPr>
        <w:widowControl/>
        <w:pBdr>
          <w:top w:val="none" w:color="auto" w:sz="0" w:space="0"/>
          <w:left w:val="none" w:color="auto" w:sz="0" w:space="0"/>
          <w:bottom w:val="none" w:color="auto" w:sz="0" w:space="0"/>
          <w:right w:val="none" w:color="auto" w:sz="0" w:space="0"/>
        </w:pBdr>
        <w:snapToGrid w:val="0"/>
        <w:spacing w:line="360" w:lineRule="auto"/>
        <w:ind w:firstLine="640" w:firstLineChars="200"/>
        <w:jc w:val="left"/>
        <w:rPr>
          <w:rFonts w:hint="eastAsia" w:ascii="仿宋_GB2312" w:hAnsi="仿宋_GB2312" w:eastAsia="仿宋_GB2312" w:cs="仿宋_GB2312"/>
          <w:b w:val="0"/>
          <w:bCs w:val="0"/>
          <w:kern w:val="2"/>
          <w:sz w:val="32"/>
          <w:szCs w:val="32"/>
          <w:shd w:val="clear" w:color="auto" w:fill="auto"/>
          <w:lang w:val="en-US" w:eastAsia="zh-CN" w:bidi="ar-SA"/>
        </w:rPr>
      </w:pPr>
      <w:r>
        <w:rPr>
          <w:rFonts w:hint="eastAsia" w:ascii="仿宋_GB2312" w:hAnsi="仿宋_GB2312" w:eastAsia="仿宋_GB2312" w:cs="仿宋_GB2312"/>
          <w:b/>
          <w:bCs/>
          <w:kern w:val="2"/>
          <w:sz w:val="32"/>
          <w:szCs w:val="32"/>
          <w:shd w:val="clear" w:color="auto" w:fill="auto"/>
          <w:lang w:val="en-US" w:eastAsia="zh-CN" w:bidi="ar-SA"/>
        </w:rPr>
        <w:t>投诉人请求：</w:t>
      </w:r>
      <w:r>
        <w:rPr>
          <w:rFonts w:hint="eastAsia" w:ascii="仿宋_GB2312" w:hAnsi="仿宋_GB2312" w:eastAsia="仿宋_GB2312" w:cs="仿宋_GB2312"/>
          <w:b w:val="0"/>
          <w:bCs w:val="0"/>
          <w:kern w:val="2"/>
          <w:sz w:val="32"/>
          <w:szCs w:val="32"/>
          <w:shd w:val="clear" w:color="auto" w:fill="auto"/>
          <w:lang w:val="en-US" w:eastAsia="zh-CN" w:bidi="ar-SA"/>
        </w:rPr>
        <w:t>撤销评标委员会的错误结论，对该项目作废标处理，重新招标。</w:t>
      </w:r>
    </w:p>
    <w:p>
      <w:pPr>
        <w:widowControl/>
        <w:pBdr>
          <w:top w:val="none" w:color="auto" w:sz="0" w:space="0"/>
          <w:left w:val="none" w:color="auto" w:sz="0" w:space="0"/>
          <w:bottom w:val="none" w:color="auto" w:sz="0" w:space="0"/>
          <w:right w:val="none" w:color="auto" w:sz="0" w:space="0"/>
        </w:pBdr>
        <w:snapToGrid w:val="0"/>
        <w:spacing w:line="360" w:lineRule="auto"/>
        <w:ind w:firstLine="640" w:firstLineChars="200"/>
        <w:jc w:val="left"/>
        <w:rPr>
          <w:rFonts w:hint="eastAsia"/>
          <w:lang w:val="en-US" w:eastAsia="zh-CN"/>
        </w:rPr>
      </w:pPr>
      <w:r>
        <w:rPr>
          <w:rFonts w:hint="eastAsia" w:ascii="仿宋_GB2312" w:hAnsi="仿宋_GB2312" w:eastAsia="仿宋_GB2312" w:cs="仿宋_GB2312"/>
          <w:b/>
          <w:bCs/>
          <w:kern w:val="2"/>
          <w:sz w:val="32"/>
          <w:szCs w:val="32"/>
          <w:shd w:val="clear" w:color="auto" w:fill="auto"/>
          <w:lang w:val="en-US" w:eastAsia="zh-CN" w:bidi="ar-SA"/>
        </w:rPr>
        <w:t>投诉人诉称：</w:t>
      </w:r>
      <w:r>
        <w:rPr>
          <w:rFonts w:hint="eastAsia" w:ascii="仿宋_GB2312" w:hAnsi="仿宋_GB2312" w:eastAsia="仿宋_GB2312" w:cs="仿宋_GB2312"/>
          <w:sz w:val="32"/>
          <w:szCs w:val="32"/>
        </w:rPr>
        <w:t>评标委员会不通过</w:t>
      </w:r>
      <w:r>
        <w:rPr>
          <w:rFonts w:hint="eastAsia" w:ascii="仿宋_GB2312" w:hAnsi="仿宋_GB2312" w:eastAsia="仿宋_GB2312" w:cs="仿宋_GB2312"/>
          <w:sz w:val="32"/>
          <w:szCs w:val="32"/>
          <w:lang w:val="en-US" w:eastAsia="zh-CN"/>
        </w:rPr>
        <w:t>该公司</w:t>
      </w:r>
      <w:r>
        <w:rPr>
          <w:rFonts w:hint="eastAsia" w:ascii="仿宋_GB2312" w:hAnsi="仿宋_GB2312" w:eastAsia="仿宋_GB2312" w:cs="仿宋_GB2312"/>
          <w:sz w:val="32"/>
          <w:szCs w:val="32"/>
        </w:rPr>
        <w:t>投标文件符合性审查并按无效投</w:t>
      </w:r>
      <w:r>
        <w:rPr>
          <w:rFonts w:hint="eastAsia" w:ascii="仿宋_GB2312" w:hAnsi="仿宋_GB2312" w:eastAsia="仿宋_GB2312" w:cs="仿宋_GB2312"/>
          <w:sz w:val="32"/>
          <w:szCs w:val="32"/>
          <w:lang w:eastAsia="zh-CN"/>
        </w:rPr>
        <w:t>标</w:t>
      </w:r>
      <w:r>
        <w:rPr>
          <w:rFonts w:hint="eastAsia" w:ascii="仿宋_GB2312" w:hAnsi="仿宋_GB2312" w:eastAsia="仿宋_GB2312" w:cs="仿宋_GB2312"/>
          <w:sz w:val="32"/>
          <w:szCs w:val="32"/>
        </w:rPr>
        <w:t>处理缺乏事实依据，</w:t>
      </w:r>
      <w:r>
        <w:rPr>
          <w:rFonts w:hint="eastAsia" w:ascii="仿宋_GB2312" w:hAnsi="仿宋_GB2312" w:eastAsia="仿宋_GB2312" w:cs="仿宋_GB2312"/>
          <w:sz w:val="32"/>
          <w:szCs w:val="32"/>
          <w:lang w:eastAsia="zh-CN"/>
        </w:rPr>
        <w:t>采购代理机构</w:t>
      </w:r>
      <w:r>
        <w:rPr>
          <w:rFonts w:hint="eastAsia" w:ascii="仿宋_GB2312" w:hAnsi="仿宋_GB2312" w:eastAsia="仿宋_GB2312" w:cs="仿宋_GB2312"/>
          <w:sz w:val="32"/>
          <w:szCs w:val="32"/>
        </w:rPr>
        <w:t>的质疑答复无事实依据</w:t>
      </w:r>
      <w:r>
        <w:rPr>
          <w:rFonts w:hint="eastAsia" w:ascii="仿宋_GB2312" w:hAnsi="宋体" w:eastAsia="仿宋_GB2312" w:cs="仿宋_GB2312"/>
          <w:bCs/>
          <w:color w:val="000000"/>
          <w:sz w:val="32"/>
          <w:szCs w:val="32"/>
        </w:rPr>
        <w:t>。</w:t>
      </w:r>
    </w:p>
    <w:p>
      <w:pPr>
        <w:widowControl/>
        <w:snapToGrid w:val="0"/>
        <w:spacing w:line="360" w:lineRule="auto"/>
        <w:ind w:firstLine="640" w:firstLineChars="200"/>
        <w:jc w:val="left"/>
        <w:rPr>
          <w:rFonts w:ascii="仿宋_GB2312" w:hAnsi="宋体" w:eastAsia="仿宋_GB2312" w:cs="仿宋_GB2312"/>
          <w:color w:val="000000"/>
          <w:sz w:val="32"/>
          <w:szCs w:val="32"/>
        </w:rPr>
      </w:pPr>
      <w:r>
        <w:rPr>
          <w:rFonts w:hint="eastAsia" w:ascii="仿宋_GB2312" w:hAnsi="仿宋_GB2312" w:eastAsia="仿宋_GB2312" w:cs="仿宋_GB2312"/>
          <w:b/>
          <w:bCs/>
          <w:i w:val="0"/>
          <w:iCs w:val="0"/>
          <w:caps w:val="0"/>
          <w:spacing w:val="0"/>
          <w:kern w:val="2"/>
          <w:sz w:val="32"/>
          <w:szCs w:val="32"/>
          <w:shd w:val="clear" w:color="auto" w:fill="auto"/>
          <w:lang w:val="en-US" w:eastAsia="zh-CN"/>
        </w:rPr>
        <w:t>采购人称：</w:t>
      </w:r>
      <w:r>
        <w:rPr>
          <w:rFonts w:hint="eastAsia" w:ascii="仿宋_GB2312" w:hAnsi="仿宋_GB2312" w:eastAsia="仿宋_GB2312" w:cs="仿宋_GB2312"/>
          <w:bCs/>
          <w:sz w:val="32"/>
          <w:szCs w:val="32"/>
          <w:lang w:eastAsia="zh-CN"/>
        </w:rPr>
        <w:t>采购代理机构</w:t>
      </w:r>
      <w:r>
        <w:rPr>
          <w:rFonts w:hint="eastAsia" w:ascii="仿宋_GB2312" w:hAnsi="仿宋_GB2312" w:eastAsia="仿宋_GB2312" w:cs="仿宋_GB2312"/>
          <w:bCs/>
          <w:sz w:val="32"/>
          <w:szCs w:val="32"/>
        </w:rPr>
        <w:t>质疑答复时，组织原评标委员会协助处理质疑事项，经评标委员会复议，认为投诉人对招标文件标有</w:t>
      </w:r>
      <w:r>
        <w:rPr>
          <w:rFonts w:hint="eastAsia" w:ascii="仿宋_GB2312" w:hAnsi="宋体" w:eastAsia="仿宋_GB2312" w:cs="仿宋_GB2312"/>
          <w:bCs/>
          <w:color w:val="000000"/>
          <w:sz w:val="32"/>
          <w:szCs w:val="32"/>
        </w:rPr>
        <w:t>“★”号的两项条款未作出明确响应</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left"/>
        <w:textAlignment w:val="auto"/>
        <w:rPr>
          <w:rFonts w:hint="eastAsia" w:ascii="仿宋_GB2312" w:hAnsi="宋体" w:eastAsia="仿宋_GB2312" w:cs="仿宋_GB2312"/>
          <w:bCs/>
          <w:color w:val="000000"/>
          <w:sz w:val="32"/>
          <w:szCs w:val="32"/>
        </w:rPr>
      </w:pPr>
      <w:r>
        <w:rPr>
          <w:rFonts w:hint="eastAsia" w:ascii="仿宋_GB2312" w:hAnsi="仿宋_GB2312" w:eastAsia="仿宋_GB2312" w:cs="仿宋_GB2312"/>
          <w:b/>
          <w:bCs/>
          <w:kern w:val="2"/>
          <w:sz w:val="32"/>
          <w:szCs w:val="32"/>
          <w:shd w:val="clear" w:color="auto" w:fill="auto"/>
          <w:lang w:val="en-US" w:eastAsia="zh-CN" w:bidi="ar-SA"/>
        </w:rPr>
        <w:t>采购代理机构称：</w:t>
      </w:r>
      <w:r>
        <w:rPr>
          <w:rFonts w:hint="eastAsia" w:ascii="仿宋_GB2312" w:hAnsi="仿宋_GB2312" w:eastAsia="仿宋_GB2312" w:cs="仿宋_GB2312"/>
          <w:b/>
          <w:bCs/>
          <w:sz w:val="32"/>
          <w:szCs w:val="32"/>
        </w:rPr>
        <w:t>一是</w:t>
      </w:r>
      <w:r>
        <w:rPr>
          <w:rFonts w:hint="eastAsia" w:ascii="仿宋_GB2312" w:hAnsi="仿宋_GB2312" w:eastAsia="仿宋_GB2312" w:cs="仿宋_GB2312"/>
          <w:bCs/>
          <w:sz w:val="32"/>
          <w:szCs w:val="32"/>
        </w:rPr>
        <w:t>收到投诉的质疑后，组织原评标委员会协助处理质疑事项，经评标委员会复议，认为投诉人投标文件中对招标文件标有</w:t>
      </w:r>
      <w:r>
        <w:rPr>
          <w:rFonts w:hint="eastAsia" w:ascii="仿宋_GB2312" w:hAnsi="宋体" w:eastAsia="仿宋_GB2312" w:cs="仿宋_GB2312"/>
          <w:bCs/>
          <w:color w:val="000000"/>
          <w:sz w:val="32"/>
          <w:szCs w:val="32"/>
        </w:rPr>
        <w:t>“★”号的两项条款</w:t>
      </w:r>
      <w:r>
        <w:rPr>
          <w:rFonts w:hint="eastAsia" w:ascii="仿宋_GB2312" w:hAnsi="宋体" w:eastAsia="仿宋_GB2312" w:cs="仿宋_GB2312"/>
          <w:bCs/>
          <w:color w:val="000000"/>
          <w:sz w:val="32"/>
          <w:szCs w:val="32"/>
          <w:lang w:val="en-US" w:eastAsia="zh-CN"/>
        </w:rPr>
        <w:t>[</w:t>
      </w:r>
      <w:r>
        <w:rPr>
          <w:rFonts w:hint="eastAsia" w:ascii="仿宋_GB2312" w:hAnsi="宋体" w:eastAsia="仿宋_GB2312" w:cs="仿宋_GB2312"/>
          <w:bCs/>
          <w:color w:val="000000"/>
          <w:sz w:val="32"/>
          <w:szCs w:val="32"/>
        </w:rPr>
        <w:t>“★本次采购产品为非进口产品（进口产品指通过中国海关报关验放进入中国境内且产自关境外的产品）”和“★投标样品不得标明投标人或产品制造商名称、品牌、商标、logo等，否则作无效投标处理”</w:t>
      </w:r>
      <w:r>
        <w:rPr>
          <w:rFonts w:hint="eastAsia" w:ascii="仿宋_GB2312" w:hAnsi="宋体" w:eastAsia="仿宋_GB2312" w:cs="仿宋_GB2312"/>
          <w:bCs/>
          <w:color w:val="000000"/>
          <w:sz w:val="32"/>
          <w:szCs w:val="32"/>
          <w:lang w:val="en-US" w:eastAsia="zh-CN"/>
        </w:rPr>
        <w:t>]</w:t>
      </w:r>
      <w:r>
        <w:rPr>
          <w:rFonts w:hint="eastAsia" w:ascii="仿宋_GB2312" w:hAnsi="宋体" w:eastAsia="仿宋_GB2312" w:cs="仿宋_GB2312"/>
          <w:bCs/>
          <w:color w:val="000000"/>
          <w:sz w:val="32"/>
          <w:szCs w:val="32"/>
        </w:rPr>
        <w:t>未作出明确响应</w:t>
      </w:r>
      <w:r>
        <w:rPr>
          <w:rFonts w:hint="eastAsia" w:ascii="仿宋_GB2312" w:hAnsi="仿宋_GB2312" w:eastAsia="仿宋_GB2312" w:cs="仿宋_GB2312"/>
          <w:sz w:val="32"/>
          <w:szCs w:val="32"/>
        </w:rPr>
        <w:t>。根据《政府采购货物和服务招标投标管理办法》第三十二条，同时根据招标文件P41-42关于投标文件制作的规定，评标委员会一致认为投诉人不通过本项目符合性审查中关于招标文件带</w:t>
      </w:r>
      <w:r>
        <w:rPr>
          <w:rFonts w:hint="eastAsia" w:ascii="仿宋_GB2312" w:hAnsi="宋体" w:eastAsia="仿宋_GB2312" w:cs="仿宋_GB2312"/>
          <w:bCs/>
          <w:color w:val="000000"/>
          <w:sz w:val="32"/>
          <w:szCs w:val="32"/>
        </w:rPr>
        <w:t>“★”条款的响应要求，按无效投标处理，维持原评审结果。</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招标文件“第六章投标文件格式与要求”P72、73页“格式十五《技术和服务要求响应表》，格式十六《商务条件响应表》”可供投标人进行响应条款的填写，响应表下方也有说明“按招标文件有标注的</w:t>
      </w:r>
      <w:r>
        <w:rPr>
          <w:rFonts w:hint="eastAsia" w:ascii="仿宋_GB2312" w:hAnsi="宋体" w:eastAsia="仿宋_GB2312" w:cs="仿宋_GB2312"/>
          <w:bCs/>
          <w:color w:val="000000"/>
          <w:sz w:val="32"/>
          <w:szCs w:val="32"/>
        </w:rPr>
        <w:t>“★”“▲”号条款进行填写，打“★”号条款为实质性条款，若有任何一条负偏离或不满足则导致投标无效</w:t>
      </w:r>
      <w:r>
        <w:rPr>
          <w:rFonts w:hint="eastAsia" w:ascii="仿宋_GB2312" w:hAnsi="仿宋_GB2312" w:eastAsia="仿宋_GB2312" w:cs="仿宋_GB2312"/>
          <w:sz w:val="32"/>
          <w:szCs w:val="32"/>
        </w:rPr>
        <w:t>”</w:t>
      </w:r>
      <w:r>
        <w:rPr>
          <w:rFonts w:hint="eastAsia" w:ascii="仿宋_GB2312" w:hAnsi="宋体" w:eastAsia="仿宋_GB2312" w:cs="仿宋_GB2312"/>
          <w:bCs/>
          <w:color w:val="000000"/>
          <w:sz w:val="32"/>
          <w:szCs w:val="32"/>
        </w:rPr>
        <w:t>。</w:t>
      </w:r>
      <w:r>
        <w:rPr>
          <w:rFonts w:hint="eastAsia" w:ascii="仿宋_GB2312" w:hAnsi="仿宋_GB2312" w:eastAsia="仿宋_GB2312" w:cs="仿宋_GB2312"/>
          <w:sz w:val="32"/>
          <w:szCs w:val="32"/>
        </w:rPr>
        <w:t>评标委员会对投诉人投标文件进行审查，其响应表中并未对应找到招标文件标注</w:t>
      </w:r>
      <w:r>
        <w:rPr>
          <w:rFonts w:hint="eastAsia" w:ascii="仿宋_GB2312" w:hAnsi="宋体" w:eastAsia="仿宋_GB2312" w:cs="仿宋_GB2312"/>
          <w:bCs/>
          <w:color w:val="000000"/>
          <w:sz w:val="32"/>
          <w:szCs w:val="32"/>
        </w:rPr>
        <w:t>“★”号条款的响应内容，投标文件中其余部分也没有对“★”号条款作出明确的响应。而招标文件《分项报价表》应属于报价部分内容，是各单项货物的投标报价，并没有“★”响应内容，不能作为判定是否响应招标文件“★”号条款。既然</w:t>
      </w:r>
      <w:r>
        <w:rPr>
          <w:rFonts w:hint="eastAsia" w:ascii="仿宋_GB2312" w:hAnsi="仿宋_GB2312" w:eastAsia="仿宋_GB2312" w:cs="仿宋_GB2312"/>
          <w:bCs/>
          <w:sz w:val="32"/>
          <w:szCs w:val="32"/>
        </w:rPr>
        <w:t>招标文件有关于投标文件的制作要求，以及对招标文件中标有</w:t>
      </w:r>
      <w:r>
        <w:rPr>
          <w:rFonts w:hint="eastAsia" w:ascii="仿宋_GB2312" w:hAnsi="宋体" w:eastAsia="仿宋_GB2312" w:cs="仿宋_GB2312"/>
          <w:bCs/>
          <w:color w:val="000000"/>
          <w:sz w:val="32"/>
          <w:szCs w:val="32"/>
        </w:rPr>
        <w:t>“★”号条款的响应说明，如投标文件未对招标文件提出的要求和条件作出明确响应，评标委员会将其认定为无效投标符合客观、公正、审慎的原则。</w:t>
      </w:r>
    </w:p>
    <w:p>
      <w:pPr>
        <w:snapToGrid w:val="0"/>
        <w:spacing w:line="360" w:lineRule="auto"/>
        <w:ind w:firstLine="640" w:firstLineChars="200"/>
        <w:rPr>
          <w:rFonts w:hint="eastAsia" w:ascii="黑体" w:hAnsi="黑体" w:eastAsia="黑体" w:cs="黑体"/>
          <w:b w:val="0"/>
          <w:bCs w:val="0"/>
          <w:color w:val="000000"/>
          <w:kern w:val="2"/>
          <w:sz w:val="32"/>
          <w:szCs w:val="32"/>
          <w:shd w:val="clear" w:color="auto" w:fill="auto"/>
          <w:lang w:val="en-US" w:eastAsia="zh-CN" w:bidi="ar-SA"/>
        </w:rPr>
      </w:pPr>
      <w:r>
        <w:rPr>
          <w:rFonts w:hint="eastAsia" w:ascii="黑体" w:hAnsi="黑体" w:eastAsia="黑体" w:cs="黑体"/>
          <w:b w:val="0"/>
          <w:bCs w:val="0"/>
          <w:color w:val="000000"/>
          <w:kern w:val="2"/>
          <w:sz w:val="32"/>
          <w:szCs w:val="32"/>
          <w:shd w:val="clear" w:color="auto" w:fill="auto"/>
          <w:lang w:val="en-US" w:eastAsia="zh-CN" w:bidi="ar-SA"/>
        </w:rPr>
        <w:t>本机关查明如下：</w:t>
      </w:r>
    </w:p>
    <w:p>
      <w:pPr>
        <w:snapToGrid w:val="0"/>
        <w:spacing w:line="360" w:lineRule="auto"/>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i w:val="0"/>
          <w:iCs w:val="0"/>
          <w:caps w:val="0"/>
          <w:color w:val="auto"/>
          <w:spacing w:val="0"/>
          <w:sz w:val="32"/>
          <w:szCs w:val="32"/>
          <w:shd w:val="clear" w:color="auto" w:fill="auto"/>
          <w:lang w:val="en-US" w:eastAsia="zh-CN"/>
        </w:rPr>
        <w:t>本</w:t>
      </w:r>
      <w:r>
        <w:rPr>
          <w:rFonts w:hint="eastAsia" w:ascii="仿宋_GB2312" w:hAnsi="仿宋_GB2312" w:eastAsia="仿宋_GB2312" w:cs="仿宋_GB2312"/>
          <w:i w:val="0"/>
          <w:iCs w:val="0"/>
          <w:caps w:val="0"/>
          <w:color w:val="auto"/>
          <w:spacing w:val="0"/>
          <w:sz w:val="32"/>
          <w:szCs w:val="32"/>
          <w:shd w:val="clear" w:color="auto" w:fill="auto"/>
        </w:rPr>
        <w:t>项目</w:t>
      </w:r>
      <w:r>
        <w:rPr>
          <w:rFonts w:hint="eastAsia" w:ascii="仿宋_GB2312" w:hAnsi="仿宋_GB2312" w:eastAsia="仿宋_GB2312" w:cs="仿宋_GB2312"/>
          <w:sz w:val="32"/>
          <w:szCs w:val="32"/>
        </w:rPr>
        <w:t>由</w:t>
      </w:r>
      <w:r>
        <w:rPr>
          <w:rFonts w:hint="eastAsia" w:ascii="仿宋_GB2312" w:hAnsi="宋体" w:eastAsia="仿宋_GB2312" w:cs="仿宋_GB2312"/>
          <w:color w:val="000000"/>
          <w:sz w:val="32"/>
          <w:szCs w:val="32"/>
        </w:rPr>
        <w:t>广东金融学院</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以下简称</w:t>
      </w:r>
      <w:r>
        <w:rPr>
          <w:rFonts w:hint="eastAsia" w:ascii="仿宋_GB2312" w:hAnsi="仿宋_GB2312" w:eastAsia="仿宋_GB2312" w:cs="仿宋_GB2312"/>
          <w:color w:val="auto"/>
          <w:sz w:val="32"/>
          <w:szCs w:val="32"/>
          <w:shd w:val="clear" w:color="auto" w:fill="auto"/>
          <w:lang w:val="en-US" w:eastAsia="zh-CN"/>
        </w:rPr>
        <w:t>被采购人</w:t>
      </w:r>
      <w:r>
        <w:rPr>
          <w:rFonts w:hint="eastAsia" w:ascii="仿宋_GB2312" w:hAnsi="仿宋_GB2312" w:eastAsia="仿宋_GB2312" w:cs="仿宋_GB2312"/>
          <w:sz w:val="32"/>
          <w:szCs w:val="32"/>
        </w:rPr>
        <w:t>）委托</w:t>
      </w:r>
      <w:r>
        <w:rPr>
          <w:rFonts w:hint="eastAsia" w:ascii="仿宋_GB2312" w:hAnsi="仿宋_GB2312" w:eastAsia="仿宋_GB2312" w:cs="仿宋_GB2312"/>
          <w:sz w:val="32"/>
          <w:szCs w:val="32"/>
          <w:lang w:val="en-US" w:eastAsia="zh-CN"/>
        </w:rPr>
        <w:t>采购代理机构</w:t>
      </w:r>
      <w:r>
        <w:rPr>
          <w:rFonts w:hint="eastAsia" w:ascii="仿宋_GB2312" w:hAnsi="仿宋_GB2312" w:eastAsia="仿宋_GB2312" w:cs="仿宋_GB2312"/>
          <w:sz w:val="32"/>
          <w:szCs w:val="32"/>
        </w:rPr>
        <w:t>组织采购活动</w:t>
      </w:r>
      <w:r>
        <w:rPr>
          <w:rFonts w:hint="eastAsia" w:ascii="仿宋_GB2312" w:hAnsi="仿宋_GB2312" w:eastAsia="仿宋_GB2312" w:cs="仿宋_GB2312"/>
          <w:sz w:val="32"/>
          <w:szCs w:val="32"/>
          <w:lang w:eastAsia="zh-CN"/>
        </w:rPr>
        <w:t>，总预算金额</w:t>
      </w:r>
      <w:r>
        <w:rPr>
          <w:rFonts w:hint="eastAsia" w:ascii="仿宋_GB2312" w:hAnsi="仿宋_GB2312" w:eastAsia="仿宋_GB2312" w:cs="仿宋_GB2312"/>
          <w:i w:val="0"/>
          <w:iCs w:val="0"/>
          <w:caps w:val="0"/>
          <w:color w:val="auto"/>
          <w:spacing w:val="0"/>
          <w:sz w:val="32"/>
          <w:szCs w:val="32"/>
          <w:shd w:val="clear" w:color="auto" w:fill="auto"/>
        </w:rPr>
        <w:t>418</w:t>
      </w:r>
      <w:r>
        <w:rPr>
          <w:rFonts w:hint="eastAsia" w:ascii="仿宋_GB2312" w:hAnsi="仿宋_GB2312" w:eastAsia="仿宋_GB2312" w:cs="仿宋_GB2312"/>
          <w:i w:val="0"/>
          <w:iCs w:val="0"/>
          <w:caps w:val="0"/>
          <w:color w:val="auto"/>
          <w:spacing w:val="0"/>
          <w:sz w:val="32"/>
          <w:szCs w:val="32"/>
          <w:shd w:val="clear" w:color="auto" w:fill="auto"/>
          <w:lang w:val="en-US" w:eastAsia="zh-CN"/>
        </w:rPr>
        <w:t>.</w:t>
      </w:r>
      <w:r>
        <w:rPr>
          <w:rFonts w:hint="eastAsia" w:ascii="仿宋_GB2312" w:hAnsi="仿宋_GB2312" w:eastAsia="仿宋_GB2312" w:cs="仿宋_GB2312"/>
          <w:i w:val="0"/>
          <w:iCs w:val="0"/>
          <w:caps w:val="0"/>
          <w:color w:val="auto"/>
          <w:spacing w:val="0"/>
          <w:sz w:val="32"/>
          <w:szCs w:val="32"/>
          <w:shd w:val="clear" w:color="auto" w:fill="auto"/>
        </w:rPr>
        <w:t>55</w:t>
      </w:r>
      <w:r>
        <w:rPr>
          <w:rFonts w:hint="eastAsia" w:ascii="仿宋_GB2312" w:hAnsi="仿宋_GB2312" w:eastAsia="仿宋_GB2312" w:cs="仿宋_GB2312"/>
          <w:sz w:val="32"/>
          <w:szCs w:val="32"/>
          <w:lang w:val="en-US" w:eastAsia="zh-CN"/>
        </w:rPr>
        <w:t>万元，采购方式为公开招标</w:t>
      </w:r>
      <w:r>
        <w:rPr>
          <w:rFonts w:hint="eastAsia" w:ascii="仿宋_GB2312" w:hAnsi="仿宋_GB2312" w:eastAsia="仿宋_GB2312" w:cs="仿宋_GB2312"/>
          <w:sz w:val="32"/>
          <w:szCs w:val="32"/>
        </w:rPr>
        <w:t>。2021年</w:t>
      </w:r>
      <w:r>
        <w:rPr>
          <w:rFonts w:hint="eastAsia" w:ascii="仿宋_GB2312" w:hAnsi="仿宋_GB2312" w:eastAsia="仿宋_GB2312" w:cs="仿宋_GB2312"/>
          <w:sz w:val="32"/>
          <w:szCs w:val="32"/>
          <w:lang w:bidi="ar"/>
        </w:rPr>
        <w:t>8月11</w:t>
      </w:r>
      <w:r>
        <w:rPr>
          <w:rFonts w:hint="eastAsia" w:ascii="仿宋_GB2312" w:hAnsi="仿宋_GB2312" w:eastAsia="仿宋_GB2312" w:cs="仿宋_GB2312"/>
          <w:sz w:val="32"/>
          <w:szCs w:val="32"/>
        </w:rPr>
        <w:t>日发布招标公告，</w:t>
      </w:r>
      <w:r>
        <w:rPr>
          <w:rFonts w:hint="eastAsia" w:ascii="仿宋_GB2312" w:hAnsi="仿宋_GB2312" w:eastAsia="仿宋_GB2312" w:cs="仿宋_GB2312"/>
          <w:sz w:val="32"/>
          <w:szCs w:val="32"/>
          <w:lang w:bidi="ar"/>
        </w:rPr>
        <w:t>8月26日发布更正公告，9月13日组织开标和评审，9月18日发布中标结果公告，确定广东爱霖科技有限公司为中标供应商</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val="en-US" w:eastAsia="zh-CN" w:bidi="ar"/>
        </w:rPr>
        <w:t>投诉人投标文件未</w:t>
      </w:r>
      <w:r>
        <w:rPr>
          <w:rFonts w:hint="eastAsia" w:ascii="仿宋_GB2312" w:hAnsi="仿宋_GB2312" w:eastAsia="仿宋_GB2312" w:cs="仿宋_GB2312"/>
          <w:i w:val="0"/>
          <w:iCs w:val="0"/>
          <w:caps w:val="0"/>
          <w:spacing w:val="0"/>
          <w:sz w:val="32"/>
          <w:szCs w:val="32"/>
          <w:shd w:val="clear" w:color="auto" w:fill="auto"/>
          <w:lang w:bidi="ar"/>
        </w:rPr>
        <w:t>通过符合性审查</w:t>
      </w:r>
      <w:r>
        <w:rPr>
          <w:rFonts w:hint="eastAsia" w:ascii="仿宋_GB2312" w:hAnsi="仿宋_GB2312" w:eastAsia="仿宋_GB2312" w:cs="仿宋_GB2312"/>
          <w:i w:val="0"/>
          <w:iCs w:val="0"/>
          <w:caps w:val="0"/>
          <w:spacing w:val="0"/>
          <w:sz w:val="32"/>
          <w:szCs w:val="32"/>
          <w:shd w:val="clear" w:color="auto" w:fill="auto"/>
          <w:lang w:eastAsia="zh-CN" w:bidi="ar"/>
        </w:rPr>
        <w:t>。</w:t>
      </w:r>
    </w:p>
    <w:p>
      <w:pPr>
        <w:pStyle w:val="2"/>
        <w:snapToGrid w:val="0"/>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auto"/>
        </w:rPr>
        <w:t>目前，</w:t>
      </w:r>
      <w:r>
        <w:rPr>
          <w:rFonts w:hint="eastAsia" w:ascii="仿宋_GB2312" w:hAnsi="仿宋_GB2312" w:eastAsia="仿宋_GB2312" w:cs="仿宋_GB2312"/>
          <w:color w:val="auto"/>
          <w:sz w:val="32"/>
          <w:szCs w:val="32"/>
          <w:shd w:val="clear" w:color="auto" w:fill="auto"/>
          <w:lang w:val="en-US" w:eastAsia="zh-CN"/>
        </w:rPr>
        <w:t>本采购项目尚未签订采购合同。</w:t>
      </w:r>
    </w:p>
    <w:p>
      <w:pPr>
        <w:pStyle w:val="2"/>
        <w:snapToGrid w:val="0"/>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招标文件相关条款：</w:t>
      </w:r>
      <w:r>
        <w:rPr>
          <w:rFonts w:hint="eastAsia" w:ascii="仿宋_GB2312" w:hAnsi="仿宋_GB2312" w:eastAsia="仿宋_GB2312" w:cs="仿宋_GB2312"/>
          <w:b w:val="0"/>
          <w:bCs w:val="0"/>
          <w:sz w:val="32"/>
          <w:szCs w:val="32"/>
          <w:lang w:eastAsia="zh-CN"/>
        </w:rPr>
        <w:t>经查，</w:t>
      </w:r>
      <w:r>
        <w:rPr>
          <w:rFonts w:hint="eastAsia" w:ascii="仿宋_GB2312" w:hAnsi="仿宋_GB2312" w:eastAsia="仿宋_GB2312" w:cs="仿宋_GB2312"/>
          <w:sz w:val="32"/>
          <w:szCs w:val="32"/>
        </w:rPr>
        <w:t>本项目</w:t>
      </w:r>
      <w:r>
        <w:rPr>
          <w:rFonts w:hint="eastAsia" w:ascii="仿宋_GB2312" w:hAnsi="仿宋_GB2312" w:eastAsia="仿宋_GB2312" w:cs="仿宋_GB2312"/>
          <w:b/>
          <w:bCs/>
          <w:sz w:val="32"/>
          <w:szCs w:val="32"/>
        </w:rPr>
        <w:t>招标文件</w:t>
      </w:r>
      <w:r>
        <w:rPr>
          <w:rFonts w:hint="eastAsia" w:ascii="仿宋_GB2312" w:hAnsi="仿宋_GB2312" w:eastAsia="仿宋_GB2312" w:cs="仿宋_GB2312"/>
          <w:b/>
          <w:bCs/>
          <w:sz w:val="32"/>
          <w:szCs w:val="32"/>
          <w:lang w:eastAsia="zh-CN"/>
        </w:rPr>
        <w:t>第</w:t>
      </w:r>
      <w:r>
        <w:rPr>
          <w:rFonts w:hint="eastAsia" w:ascii="仿宋_GB2312" w:hAnsi="仿宋_GB2312" w:eastAsia="仿宋_GB2312" w:cs="仿宋_GB2312"/>
          <w:b/>
          <w:bCs/>
          <w:sz w:val="32"/>
          <w:szCs w:val="32"/>
          <w:lang w:val="en-US" w:eastAsia="zh-CN"/>
        </w:rPr>
        <w:t>4页、第5页</w:t>
      </w:r>
      <w:r>
        <w:rPr>
          <w:rFonts w:hint="eastAsia" w:ascii="仿宋_GB2312" w:hAnsi="仿宋_GB2312" w:eastAsia="仿宋_GB2312" w:cs="仿宋_GB2312"/>
          <w:sz w:val="32"/>
          <w:szCs w:val="32"/>
        </w:rPr>
        <w:t>第二章采购需求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一、项目概述</w:t>
      </w:r>
      <w:r>
        <w:rPr>
          <w:rFonts w:hint="eastAsia" w:ascii="仿宋_GB2312" w:hAnsi="仿宋_GB2312" w:eastAsia="仿宋_GB2312" w:cs="仿宋_GB2312"/>
          <w:sz w:val="32"/>
          <w:szCs w:val="32"/>
          <w:lang w:eastAsia="zh-CN"/>
        </w:rPr>
        <w:t>”中的“</w:t>
      </w:r>
      <w:r>
        <w:rPr>
          <w:rFonts w:hint="eastAsia" w:ascii="仿宋_GB2312" w:hAnsi="仿宋_GB2312" w:eastAsia="仿宋_GB2312" w:cs="仿宋_GB2312"/>
          <w:sz w:val="32"/>
          <w:szCs w:val="32"/>
        </w:rPr>
        <w:t>1.本次招标的项目即范围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4.</w:t>
      </w:r>
      <w:r>
        <w:rPr>
          <w:rFonts w:hint="eastAsia" w:ascii="仿宋_GB2312" w:hAnsi="仿宋_GB2312" w:eastAsia="仿宋_GB2312" w:cs="仿宋_GB2312"/>
          <w:bCs/>
          <w:color w:val="000000"/>
          <w:sz w:val="32"/>
          <w:szCs w:val="32"/>
        </w:rPr>
        <w:t xml:space="preserve"> ★本次采购产品为非进口产品（进口产品指通过中国海关报关验放进入中国境内且产自关境外的产品）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三、投标样品要求</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内容部分载明</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★2.投标样品不得标明投标人或产品制造商名称、品牌、商标、logo等，否则作无效投标处理”。</w:t>
      </w:r>
      <w:r>
        <w:rPr>
          <w:rFonts w:hint="eastAsia" w:ascii="仿宋_GB2312" w:hAnsi="仿宋_GB2312" w:eastAsia="仿宋_GB2312" w:cs="仿宋_GB2312"/>
          <w:b/>
          <w:bCs/>
          <w:sz w:val="32"/>
          <w:szCs w:val="32"/>
        </w:rPr>
        <w:t>招标文件</w:t>
      </w:r>
      <w:r>
        <w:rPr>
          <w:rFonts w:hint="eastAsia" w:ascii="仿宋_GB2312" w:hAnsi="仿宋_GB2312" w:eastAsia="仿宋_GB2312" w:cs="仿宋_GB2312"/>
          <w:b/>
          <w:bCs/>
          <w:sz w:val="32"/>
          <w:szCs w:val="32"/>
          <w:lang w:eastAsia="zh-CN"/>
        </w:rPr>
        <w:t>第</w:t>
      </w:r>
      <w:r>
        <w:rPr>
          <w:rFonts w:hint="eastAsia" w:ascii="仿宋_GB2312" w:hAnsi="仿宋_GB2312" w:eastAsia="仿宋_GB2312" w:cs="仿宋_GB2312"/>
          <w:b/>
          <w:bCs/>
          <w:sz w:val="32"/>
          <w:szCs w:val="32"/>
          <w:lang w:val="en-US" w:eastAsia="zh-CN"/>
        </w:rPr>
        <w:t>42页</w:t>
      </w:r>
      <w:r>
        <w:rPr>
          <w:rFonts w:hint="eastAsia" w:ascii="仿宋_GB2312" w:hAnsi="仿宋_GB2312" w:eastAsia="仿宋_GB2312" w:cs="仿宋_GB2312"/>
          <w:sz w:val="32"/>
          <w:szCs w:val="32"/>
        </w:rPr>
        <w:t>第三章投标人须知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五、投标要求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2.投标文件的制作</w:t>
      </w:r>
      <w:r>
        <w:rPr>
          <w:rFonts w:hint="eastAsia" w:ascii="仿宋_GB2312" w:hAnsi="仿宋_GB2312" w:eastAsia="仿宋_GB2312" w:cs="仿宋_GB2312"/>
          <w:sz w:val="32"/>
          <w:szCs w:val="32"/>
          <w:lang w:eastAsia="zh-CN"/>
        </w:rPr>
        <w:t>”中</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2.5</w:t>
      </w:r>
      <w:r>
        <w:rPr>
          <w:rFonts w:hint="eastAsia" w:ascii="仿宋_GB2312" w:hAnsi="仿宋_GB2312" w:eastAsia="仿宋"/>
          <w:sz w:val="32"/>
          <w:szCs w:val="32"/>
        </w:rPr>
        <w:t>投标人须对招标文件的对应要求给予唯一的实质性响应，否则将视为不响应。2.6招标文件中，凡标有</w:t>
      </w:r>
      <w:r>
        <w:rPr>
          <w:rFonts w:hint="eastAsia" w:ascii="仿宋_GB2312" w:hAnsi="仿宋_GB2312" w:eastAsia="仿宋_GB2312" w:cs="仿宋_GB2312"/>
          <w:bCs/>
          <w:color w:val="auto"/>
          <w:sz w:val="32"/>
          <w:szCs w:val="32"/>
        </w:rPr>
        <w:t>‘</w:t>
      </w:r>
      <w:r>
        <w:rPr>
          <w:rFonts w:hint="eastAsia" w:ascii="仿宋_GB2312" w:hAnsi="宋体" w:eastAsia="仿宋_GB2312" w:cs="仿宋_GB2312"/>
          <w:bCs/>
          <w:color w:val="auto"/>
          <w:sz w:val="32"/>
          <w:szCs w:val="32"/>
        </w:rPr>
        <w:t>★</w:t>
      </w:r>
      <w:r>
        <w:rPr>
          <w:rFonts w:hint="eastAsia" w:ascii="仿宋_GB2312" w:hAnsi="仿宋_GB2312" w:eastAsia="仿宋_GB2312" w:cs="仿宋_GB2312"/>
          <w:bCs/>
          <w:color w:val="auto"/>
          <w:sz w:val="32"/>
          <w:szCs w:val="32"/>
        </w:rPr>
        <w:t>’</w:t>
      </w:r>
      <w:r>
        <w:rPr>
          <w:rFonts w:hint="eastAsia" w:ascii="仿宋_GB2312" w:hAnsi="宋体" w:eastAsia="仿宋_GB2312" w:cs="仿宋_GB2312"/>
          <w:bCs/>
          <w:color w:val="000000"/>
          <w:sz w:val="32"/>
          <w:szCs w:val="32"/>
        </w:rPr>
        <w:t>的地方均为实质性响应条款，投标人若有一项带</w:t>
      </w:r>
      <w:r>
        <w:rPr>
          <w:rFonts w:hint="eastAsia" w:ascii="仿宋_GB2312" w:hAnsi="仿宋_GB2312" w:eastAsia="仿宋_GB2312" w:cs="仿宋_GB2312"/>
          <w:bCs/>
          <w:color w:val="auto"/>
          <w:sz w:val="32"/>
          <w:szCs w:val="32"/>
        </w:rPr>
        <w:t>‘</w:t>
      </w:r>
      <w:r>
        <w:rPr>
          <w:rFonts w:hint="eastAsia" w:ascii="仿宋_GB2312" w:hAnsi="宋体" w:eastAsia="仿宋_GB2312" w:cs="仿宋_GB2312"/>
          <w:bCs/>
          <w:color w:val="auto"/>
          <w:sz w:val="32"/>
          <w:szCs w:val="32"/>
        </w:rPr>
        <w:t>★</w:t>
      </w:r>
      <w:r>
        <w:rPr>
          <w:rFonts w:hint="eastAsia" w:ascii="仿宋_GB2312" w:hAnsi="仿宋_GB2312" w:eastAsia="仿宋_GB2312" w:cs="仿宋_GB2312"/>
          <w:bCs/>
          <w:color w:val="auto"/>
          <w:sz w:val="32"/>
          <w:szCs w:val="32"/>
        </w:rPr>
        <w:t>’</w:t>
      </w:r>
      <w:r>
        <w:rPr>
          <w:rFonts w:hint="eastAsia" w:ascii="仿宋_GB2312" w:hAnsi="宋体" w:eastAsia="仿宋_GB2312" w:cs="仿宋_GB2312"/>
          <w:bCs/>
          <w:color w:val="000000"/>
          <w:sz w:val="32"/>
          <w:szCs w:val="32"/>
        </w:rPr>
        <w:t>的条款未响应或不满足，将按无效投标处理</w:t>
      </w:r>
      <w:r>
        <w:rPr>
          <w:rFonts w:hint="eastAsia" w:ascii="仿宋_GB2312" w:hAnsi="宋体" w:eastAsia="仿宋_GB2312" w:cs="仿宋_GB2312"/>
          <w:bCs/>
          <w:color w:val="000000"/>
          <w:sz w:val="32"/>
          <w:szCs w:val="32"/>
          <w:lang w:eastAsia="zh-CN"/>
        </w:rPr>
        <w:t>”</w:t>
      </w:r>
      <w:r>
        <w:rPr>
          <w:rFonts w:hint="eastAsia" w:ascii="仿宋_GB2312" w:hAnsi="宋体" w:eastAsia="仿宋_GB2312" w:cs="仿宋_GB2312"/>
          <w:bCs/>
          <w:color w:val="000000"/>
          <w:sz w:val="32"/>
          <w:szCs w:val="32"/>
        </w:rPr>
        <w:t>。</w:t>
      </w:r>
      <w:r>
        <w:rPr>
          <w:rFonts w:hint="eastAsia" w:ascii="仿宋_GB2312" w:hAnsi="仿宋_GB2312" w:eastAsia="仿宋_GB2312" w:cs="仿宋_GB2312"/>
          <w:b/>
          <w:bCs/>
          <w:sz w:val="32"/>
          <w:szCs w:val="32"/>
        </w:rPr>
        <w:t>招标文件</w:t>
      </w:r>
      <w:r>
        <w:rPr>
          <w:rFonts w:hint="eastAsia" w:ascii="仿宋_GB2312" w:hAnsi="仿宋_GB2312" w:eastAsia="仿宋_GB2312" w:cs="仿宋_GB2312"/>
          <w:b/>
          <w:bCs/>
          <w:sz w:val="32"/>
          <w:szCs w:val="32"/>
          <w:lang w:eastAsia="zh-CN"/>
        </w:rPr>
        <w:t>第</w:t>
      </w:r>
      <w:r>
        <w:rPr>
          <w:rFonts w:hint="eastAsia" w:ascii="仿宋_GB2312" w:hAnsi="仿宋_GB2312" w:eastAsia="仿宋_GB2312" w:cs="仿宋_GB2312"/>
          <w:b/>
          <w:bCs/>
          <w:sz w:val="32"/>
          <w:szCs w:val="32"/>
          <w:lang w:val="en-US" w:eastAsia="zh-CN"/>
        </w:rPr>
        <w:t>72页</w:t>
      </w:r>
      <w:r>
        <w:rPr>
          <w:rFonts w:hint="eastAsia" w:ascii="仿宋_GB2312" w:hAnsi="仿宋_GB2312" w:eastAsia="仿宋_GB2312" w:cs="仿宋_GB2312"/>
          <w:b w:val="0"/>
          <w:bCs w:val="0"/>
          <w:sz w:val="32"/>
          <w:szCs w:val="32"/>
          <w:lang w:val="en-US" w:eastAsia="zh-CN"/>
        </w:rPr>
        <w:t>第六章投标文件格式与要求《技术和服务要求响应表》《商务条件响应表》下方说明部分均载明</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参数性质栏目</w:t>
      </w:r>
      <w:r>
        <w:rPr>
          <w:rFonts w:hint="eastAsia" w:ascii="仿宋_GB2312" w:hAnsi="仿宋_GB2312" w:eastAsia="仿宋_GB2312" w:cs="仿宋_GB2312"/>
          <w:sz w:val="32"/>
          <w:szCs w:val="32"/>
        </w:rPr>
        <w:t>按招标文件有标注的</w:t>
      </w:r>
      <w:r>
        <w:rPr>
          <w:rFonts w:hint="eastAsia" w:ascii="仿宋_GB2312" w:hAnsi="仿宋_GB2312" w:eastAsia="仿宋_GB2312" w:cs="仿宋_GB2312"/>
          <w:sz w:val="32"/>
          <w:szCs w:val="32"/>
          <w:lang w:eastAsia="zh-CN"/>
        </w:rPr>
        <w:t>‘</w:t>
      </w:r>
      <w:r>
        <w:rPr>
          <w:rFonts w:hint="eastAsia" w:ascii="仿宋_GB2312" w:hAnsi="宋体" w:eastAsia="仿宋_GB2312" w:cs="仿宋_GB2312"/>
          <w:bCs/>
          <w:color w:val="000000"/>
          <w:sz w:val="32"/>
          <w:szCs w:val="32"/>
        </w:rPr>
        <w:t>★</w:t>
      </w:r>
      <w:r>
        <w:rPr>
          <w:rFonts w:hint="eastAsia" w:ascii="仿宋_GB2312" w:hAnsi="宋体" w:eastAsia="仿宋_GB2312" w:cs="仿宋_GB2312"/>
          <w:bCs/>
          <w:color w:val="000000"/>
          <w:sz w:val="32"/>
          <w:szCs w:val="32"/>
          <w:lang w:eastAsia="zh-CN"/>
        </w:rPr>
        <w:t>’‘</w:t>
      </w:r>
      <w:r>
        <w:rPr>
          <w:rFonts w:hint="eastAsia" w:ascii="仿宋_GB2312" w:hAnsi="宋体" w:eastAsia="仿宋_GB2312" w:cs="仿宋_GB2312"/>
          <w:bCs/>
          <w:color w:val="000000"/>
          <w:sz w:val="32"/>
          <w:szCs w:val="32"/>
        </w:rPr>
        <w:t>▲</w:t>
      </w:r>
      <w:r>
        <w:rPr>
          <w:rFonts w:hint="eastAsia" w:ascii="仿宋_GB2312" w:hAnsi="宋体" w:eastAsia="仿宋_GB2312" w:cs="仿宋_GB2312"/>
          <w:bCs/>
          <w:color w:val="000000"/>
          <w:sz w:val="32"/>
          <w:szCs w:val="32"/>
          <w:lang w:eastAsia="zh-CN"/>
        </w:rPr>
        <w:t>’</w:t>
      </w:r>
      <w:r>
        <w:rPr>
          <w:rFonts w:hint="eastAsia" w:ascii="仿宋_GB2312" w:hAnsi="宋体" w:eastAsia="仿宋_GB2312" w:cs="仿宋_GB2312"/>
          <w:bCs/>
          <w:color w:val="000000"/>
          <w:sz w:val="32"/>
          <w:szCs w:val="32"/>
        </w:rPr>
        <w:t>号条款进行填写，打</w:t>
      </w:r>
      <w:r>
        <w:rPr>
          <w:rFonts w:hint="eastAsia" w:ascii="仿宋_GB2312" w:hAnsi="宋体" w:eastAsia="仿宋_GB2312" w:cs="仿宋_GB2312"/>
          <w:bCs/>
          <w:color w:val="000000"/>
          <w:sz w:val="32"/>
          <w:szCs w:val="32"/>
          <w:lang w:eastAsia="zh-CN"/>
        </w:rPr>
        <w:t>‘</w:t>
      </w:r>
      <w:r>
        <w:rPr>
          <w:rFonts w:hint="eastAsia" w:ascii="仿宋_GB2312" w:hAnsi="宋体" w:eastAsia="仿宋_GB2312" w:cs="仿宋_GB2312"/>
          <w:bCs/>
          <w:color w:val="000000"/>
          <w:sz w:val="32"/>
          <w:szCs w:val="32"/>
        </w:rPr>
        <w:t>★</w:t>
      </w:r>
      <w:r>
        <w:rPr>
          <w:rFonts w:hint="eastAsia" w:ascii="仿宋_GB2312" w:hAnsi="宋体" w:eastAsia="仿宋_GB2312" w:cs="仿宋_GB2312"/>
          <w:bCs/>
          <w:color w:val="000000"/>
          <w:sz w:val="32"/>
          <w:szCs w:val="32"/>
          <w:lang w:eastAsia="zh-CN"/>
        </w:rPr>
        <w:t>’</w:t>
      </w:r>
      <w:r>
        <w:rPr>
          <w:rFonts w:hint="eastAsia" w:ascii="仿宋_GB2312" w:hAnsi="宋体" w:eastAsia="仿宋_GB2312" w:cs="仿宋_GB2312"/>
          <w:bCs/>
          <w:color w:val="000000"/>
          <w:sz w:val="32"/>
          <w:szCs w:val="32"/>
        </w:rPr>
        <w:t>号条款为实质性条款，若有任何一条负偏离或不满足则导致投标无效</w:t>
      </w:r>
      <w:r>
        <w:rPr>
          <w:rFonts w:hint="default" w:ascii="Arial" w:hAnsi="Arial" w:eastAsia="仿宋_GB2312" w:cs="Arial"/>
          <w:bCs/>
          <w:color w:val="000000"/>
          <w:sz w:val="32"/>
          <w:szCs w:val="32"/>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widowControl/>
        <w:snapToGrid w:val="0"/>
        <w:spacing w:line="360" w:lineRule="auto"/>
        <w:ind w:firstLine="640" w:firstLineChars="200"/>
        <w:jc w:val="left"/>
        <w:rPr>
          <w:rFonts w:hint="eastAsia" w:ascii="仿宋_GB2312" w:hAnsi="仿宋_GB2312" w:eastAsia="仿宋_GB2312" w:cs="仿宋_GB2312"/>
          <w:bCs w:val="0"/>
          <w:color w:val="000000"/>
          <w:sz w:val="32"/>
          <w:szCs w:val="32"/>
          <w:lang w:val="en-US" w:eastAsia="zh-CN"/>
        </w:rPr>
      </w:pPr>
      <w:r>
        <w:rPr>
          <w:rFonts w:hint="eastAsia" w:ascii="仿宋_GB2312" w:hAnsi="仿宋_GB2312" w:eastAsia="仿宋_GB2312" w:cs="仿宋_GB2312"/>
          <w:b/>
          <w:bCs/>
          <w:sz w:val="32"/>
          <w:szCs w:val="32"/>
          <w:lang w:val="en-US" w:eastAsia="zh-CN"/>
        </w:rPr>
        <w:t>投标文件</w:t>
      </w:r>
      <w:r>
        <w:rPr>
          <w:rFonts w:hint="eastAsia" w:ascii="仿宋_GB2312" w:hAnsi="仿宋_GB2312" w:eastAsia="仿宋_GB2312" w:cs="仿宋_GB2312"/>
          <w:b/>
          <w:bCs w:val="0"/>
          <w:color w:val="auto"/>
          <w:sz w:val="32"/>
          <w:szCs w:val="32"/>
          <w:lang w:val="en-US" w:eastAsia="zh-CN"/>
        </w:rPr>
        <w:t>相关响应情况</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sz w:val="32"/>
          <w:szCs w:val="32"/>
          <w:lang w:val="en-US" w:eastAsia="zh-CN"/>
        </w:rPr>
        <w:t>经查，投诉人投标文件中未发现针对招标文件中采购需求关于</w:t>
      </w:r>
      <w:r>
        <w:rPr>
          <w:rFonts w:hint="eastAsia" w:ascii="仿宋_GB2312" w:hAnsi="宋体" w:eastAsia="仿宋_GB2312" w:cs="仿宋_GB2312"/>
          <w:bCs/>
          <w:color w:val="000000"/>
          <w:sz w:val="32"/>
          <w:szCs w:val="32"/>
        </w:rPr>
        <w:t>“★本次采购产品为非进口产品（进口产品指通过中国海关报关验放进入中国境内且产自关境外的产品）”和“★投标样品不得标明投标人或产品制造商名称、品牌、商标、logo等，</w:t>
      </w:r>
      <w:r>
        <w:rPr>
          <w:rFonts w:hint="eastAsia" w:ascii="仿宋_GB2312" w:hAnsi="仿宋_GB2312" w:eastAsia="仿宋_GB2312" w:cs="仿宋_GB2312"/>
          <w:bCs w:val="0"/>
          <w:color w:val="000000"/>
          <w:sz w:val="32"/>
          <w:szCs w:val="32"/>
        </w:rPr>
        <w:t>否则作无效投标处理”</w:t>
      </w:r>
      <w:r>
        <w:rPr>
          <w:rFonts w:hint="eastAsia" w:ascii="仿宋_GB2312" w:hAnsi="仿宋_GB2312" w:eastAsia="仿宋_GB2312" w:cs="仿宋_GB2312"/>
          <w:bCs w:val="0"/>
          <w:color w:val="000000"/>
          <w:sz w:val="32"/>
          <w:szCs w:val="32"/>
          <w:lang w:val="en-US" w:eastAsia="zh-CN"/>
        </w:rPr>
        <w:t>的</w:t>
      </w:r>
      <w:r>
        <w:rPr>
          <w:rFonts w:hint="eastAsia" w:ascii="仿宋_GB2312" w:hAnsi="仿宋_GB2312" w:eastAsia="仿宋_GB2312" w:cs="仿宋_GB2312"/>
          <w:color w:val="000000"/>
          <w:kern w:val="2"/>
          <w:sz w:val="32"/>
          <w:szCs w:val="32"/>
          <w:lang w:val="en-US" w:eastAsia="zh-CN" w:bidi="ar"/>
        </w:rPr>
        <w:t>实质性条款</w:t>
      </w:r>
      <w:r>
        <w:rPr>
          <w:rFonts w:hint="eastAsia" w:ascii="仿宋_GB2312" w:hAnsi="仿宋_GB2312" w:eastAsia="仿宋_GB2312" w:cs="仿宋_GB2312"/>
          <w:kern w:val="2"/>
          <w:sz w:val="32"/>
          <w:szCs w:val="32"/>
          <w:lang w:val="en-US" w:eastAsia="zh-CN" w:bidi="ar"/>
        </w:rPr>
        <w:t>进行</w:t>
      </w:r>
      <w:r>
        <w:rPr>
          <w:rFonts w:hint="eastAsia" w:ascii="仿宋_GB2312" w:hAnsi="宋体" w:eastAsia="仿宋_GB2312" w:cs="仿宋_GB2312"/>
          <w:bCs/>
          <w:color w:val="000000"/>
          <w:sz w:val="32"/>
          <w:szCs w:val="32"/>
        </w:rPr>
        <w:t>响应或满足</w:t>
      </w:r>
      <w:r>
        <w:rPr>
          <w:rFonts w:hint="eastAsia" w:ascii="仿宋_GB2312" w:hAnsi="宋体" w:eastAsia="仿宋_GB2312" w:cs="仿宋_GB2312"/>
          <w:bCs/>
          <w:color w:val="000000"/>
          <w:sz w:val="32"/>
          <w:szCs w:val="32"/>
          <w:lang w:val="en-US" w:eastAsia="zh-CN"/>
        </w:rPr>
        <w:t>的</w:t>
      </w:r>
      <w:r>
        <w:rPr>
          <w:rFonts w:hint="eastAsia" w:ascii="仿宋_GB2312" w:hAnsi="仿宋_GB2312" w:eastAsia="仿宋_GB2312" w:cs="仿宋_GB2312"/>
          <w:bCs w:val="0"/>
          <w:color w:val="auto"/>
          <w:sz w:val="32"/>
          <w:szCs w:val="32"/>
          <w:lang w:val="en-US" w:eastAsia="zh-CN"/>
        </w:rPr>
        <w:t>填写资料</w:t>
      </w:r>
      <w:r>
        <w:rPr>
          <w:rFonts w:hint="eastAsia" w:ascii="仿宋_GB2312" w:hAnsi="仿宋_GB2312" w:eastAsia="仿宋_GB2312" w:cs="仿宋_GB2312"/>
          <w:bCs w:val="0"/>
          <w:color w:val="000000"/>
          <w:sz w:val="32"/>
          <w:szCs w:val="32"/>
          <w:lang w:val="en-US" w:eastAsia="zh-CN"/>
        </w:rPr>
        <w:t>，其他11家参投供应商在投标文件中均提供了对上述</w:t>
      </w:r>
      <w:r>
        <w:rPr>
          <w:rFonts w:hint="eastAsia" w:ascii="仿宋_GB2312" w:hAnsi="仿宋_GB2312" w:eastAsia="仿宋_GB2312" w:cs="仿宋_GB2312"/>
          <w:color w:val="000000"/>
          <w:kern w:val="2"/>
          <w:sz w:val="32"/>
          <w:szCs w:val="32"/>
          <w:lang w:val="en-US" w:eastAsia="zh-CN" w:bidi="ar"/>
        </w:rPr>
        <w:t>实质性条款进行</w:t>
      </w:r>
      <w:r>
        <w:rPr>
          <w:rFonts w:hint="eastAsia" w:ascii="仿宋_GB2312" w:hAnsi="仿宋_GB2312" w:eastAsia="仿宋_GB2312" w:cs="仿宋_GB2312"/>
          <w:bCs w:val="0"/>
          <w:color w:val="000000"/>
          <w:sz w:val="32"/>
          <w:szCs w:val="32"/>
          <w:lang w:val="en-US" w:eastAsia="zh-CN"/>
        </w:rPr>
        <w:t>响应的</w:t>
      </w:r>
      <w:r>
        <w:rPr>
          <w:rFonts w:hint="eastAsia" w:ascii="仿宋_GB2312" w:hAnsi="仿宋_GB2312" w:eastAsia="仿宋_GB2312" w:cs="仿宋_GB2312"/>
          <w:color w:val="auto"/>
          <w:kern w:val="2"/>
          <w:sz w:val="32"/>
          <w:szCs w:val="32"/>
          <w:lang w:val="en-US" w:eastAsia="zh-CN" w:bidi="ar"/>
        </w:rPr>
        <w:t>明确</w:t>
      </w:r>
      <w:r>
        <w:rPr>
          <w:rFonts w:hint="eastAsia" w:ascii="仿宋_GB2312" w:hAnsi="仿宋_GB2312" w:eastAsia="仿宋_GB2312" w:cs="仿宋_GB2312"/>
          <w:bCs w:val="0"/>
          <w:color w:val="auto"/>
          <w:sz w:val="32"/>
          <w:szCs w:val="32"/>
          <w:lang w:val="en-US" w:eastAsia="zh-CN"/>
        </w:rPr>
        <w:t>说明或承诺</w:t>
      </w:r>
      <w:r>
        <w:rPr>
          <w:rFonts w:hint="eastAsia" w:ascii="仿宋_GB2312" w:hAnsi="仿宋_GB2312" w:eastAsia="仿宋_GB2312" w:cs="仿宋_GB2312"/>
          <w:bCs w:val="0"/>
          <w:color w:val="000000"/>
          <w:sz w:val="32"/>
          <w:szCs w:val="32"/>
          <w:lang w:val="en-US" w:eastAsia="zh-CN"/>
        </w:rPr>
        <w:t>。</w:t>
      </w:r>
    </w:p>
    <w:p>
      <w:pPr>
        <w:widowControl/>
        <w:numPr>
          <w:ilvl w:val="0"/>
          <w:numId w:val="0"/>
        </w:numPr>
        <w:pBdr>
          <w:top w:val="none" w:color="auto" w:sz="0" w:space="0"/>
          <w:left w:val="none" w:color="auto" w:sz="0" w:space="0"/>
          <w:bottom w:val="none" w:color="auto" w:sz="0" w:space="0"/>
          <w:right w:val="none" w:color="auto" w:sz="0" w:space="0"/>
        </w:pBdr>
        <w:shd w:val="clear" w:color="auto" w:fill="auto"/>
        <w:snapToGrid w:val="0"/>
        <w:spacing w:line="360" w:lineRule="auto"/>
        <w:ind w:left="0" w:firstLine="640" w:firstLineChars="200"/>
        <w:jc w:val="left"/>
        <w:rPr>
          <w:rFonts w:hint="default" w:ascii="仿宋_GB2312" w:hAnsi="仿宋_GB2312" w:eastAsia="仿宋_GB2312" w:cs="仿宋_GB2312"/>
          <w:color w:val="auto"/>
          <w:kern w:val="2"/>
          <w:sz w:val="32"/>
          <w:szCs w:val="32"/>
          <w:u w:val="none"/>
          <w:shd w:val="clear" w:color="auto" w:fill="auto"/>
          <w:lang w:val="en-US" w:eastAsia="zh-CN" w:bidi="ar-SA"/>
        </w:rPr>
      </w:pPr>
      <w:r>
        <w:rPr>
          <w:rFonts w:hint="eastAsia" w:ascii="仿宋_GB2312" w:hAnsi="仿宋_GB2312" w:eastAsia="仿宋_GB2312" w:cs="仿宋_GB2312"/>
          <w:b/>
          <w:bCs/>
          <w:kern w:val="2"/>
          <w:sz w:val="32"/>
          <w:szCs w:val="32"/>
          <w:shd w:val="clear" w:color="auto" w:fill="auto"/>
          <w:lang w:val="en-US" w:eastAsia="zh-CN" w:bidi="ar"/>
        </w:rPr>
        <w:t>评审委员会评审情况：</w:t>
      </w:r>
      <w:r>
        <w:rPr>
          <w:rFonts w:hint="eastAsia" w:ascii="仿宋_GB2312" w:hAnsi="仿宋_GB2312" w:eastAsia="仿宋_GB2312" w:cs="仿宋_GB2312"/>
          <w:b w:val="0"/>
          <w:bCs w:val="0"/>
          <w:color w:val="auto"/>
          <w:kern w:val="2"/>
          <w:sz w:val="32"/>
          <w:szCs w:val="32"/>
          <w:shd w:val="clear" w:color="auto" w:fill="auto"/>
          <w:lang w:val="en-US" w:eastAsia="zh-CN" w:bidi="ar"/>
        </w:rPr>
        <w:t>评标委员会对进入符合性评审阶段的12家投标人的投标文件进行了符合性审查，其中有10家通过符合性评审，有2家不符合符合性评审的要求，分别是投诉人（无效投标原因是未提供响应实质性条款的承诺）和江西德泰科技有限公司。</w:t>
      </w:r>
    </w:p>
    <w:p>
      <w:pPr>
        <w:widowControl/>
        <w:numPr>
          <w:ilvl w:val="0"/>
          <w:numId w:val="0"/>
        </w:numPr>
        <w:pBdr>
          <w:top w:val="none" w:color="auto" w:sz="0" w:space="0"/>
          <w:left w:val="none" w:color="auto" w:sz="0" w:space="0"/>
          <w:bottom w:val="none" w:color="auto" w:sz="0" w:space="0"/>
          <w:right w:val="none" w:color="auto" w:sz="0" w:space="0"/>
        </w:pBdr>
        <w:shd w:val="clear" w:color="auto" w:fill="auto"/>
        <w:snapToGrid w:val="0"/>
        <w:spacing w:line="360" w:lineRule="auto"/>
        <w:ind w:left="0" w:firstLine="640" w:firstLineChars="200"/>
        <w:jc w:val="left"/>
        <w:rPr>
          <w:rFonts w:hint="eastAsia"/>
          <w:lang w:val="en-US" w:eastAsia="zh-CN"/>
        </w:rPr>
      </w:pPr>
      <w:r>
        <w:rPr>
          <w:rFonts w:hint="eastAsia" w:ascii="仿宋_GB2312" w:hAnsi="仿宋_GB2312" w:eastAsia="仿宋_GB2312" w:cs="仿宋_GB2312"/>
          <w:color w:val="auto"/>
          <w:kern w:val="2"/>
          <w:sz w:val="32"/>
          <w:szCs w:val="32"/>
          <w:u w:val="none"/>
          <w:shd w:val="clear" w:color="auto" w:fill="auto"/>
          <w:lang w:val="en-US" w:eastAsia="zh-CN" w:bidi="ar-SA"/>
        </w:rPr>
        <w:t>上述事实，有</w:t>
      </w:r>
      <w:r>
        <w:rPr>
          <w:rFonts w:hint="eastAsia" w:ascii="仿宋_GB2312" w:hAnsi="仿宋_GB2312" w:eastAsia="仿宋_GB2312" w:cs="仿宋_GB2312"/>
          <w:i w:val="0"/>
          <w:iCs w:val="0"/>
          <w:caps w:val="0"/>
          <w:color w:val="auto"/>
          <w:spacing w:val="0"/>
          <w:sz w:val="32"/>
          <w:szCs w:val="32"/>
          <w:u w:val="none"/>
          <w:shd w:val="clear" w:color="auto" w:fill="auto"/>
        </w:rPr>
        <w:t>投诉人提交的投诉材料，采购人</w:t>
      </w:r>
      <w:r>
        <w:rPr>
          <w:rFonts w:hint="eastAsia" w:ascii="仿宋_GB2312" w:hAnsi="仿宋_GB2312" w:eastAsia="仿宋_GB2312" w:cs="仿宋_GB2312"/>
          <w:i w:val="0"/>
          <w:iCs w:val="0"/>
          <w:caps w:val="0"/>
          <w:color w:val="auto"/>
          <w:spacing w:val="0"/>
          <w:sz w:val="32"/>
          <w:szCs w:val="32"/>
          <w:u w:val="none"/>
          <w:shd w:val="clear" w:color="auto" w:fill="auto"/>
          <w:lang w:eastAsia="zh-CN"/>
        </w:rPr>
        <w:t>、采购代理机构</w:t>
      </w:r>
      <w:r>
        <w:rPr>
          <w:rFonts w:hint="eastAsia" w:ascii="仿宋_GB2312" w:hAnsi="仿宋_GB2312" w:eastAsia="仿宋_GB2312" w:cs="仿宋_GB2312"/>
          <w:i w:val="0"/>
          <w:iCs w:val="0"/>
          <w:caps w:val="0"/>
          <w:color w:val="auto"/>
          <w:spacing w:val="0"/>
          <w:sz w:val="32"/>
          <w:szCs w:val="32"/>
          <w:u w:val="none"/>
          <w:shd w:val="clear" w:color="auto" w:fill="auto"/>
        </w:rPr>
        <w:t>提交的答复材料，招标文件、投标文件</w:t>
      </w:r>
      <w:r>
        <w:rPr>
          <w:rFonts w:hint="eastAsia" w:ascii="仿宋_GB2312" w:hAnsi="仿宋_GB2312" w:eastAsia="仿宋_GB2312" w:cs="仿宋_GB2312"/>
          <w:i w:val="0"/>
          <w:iCs w:val="0"/>
          <w:caps w:val="0"/>
          <w:color w:val="auto"/>
          <w:spacing w:val="0"/>
          <w:sz w:val="32"/>
          <w:szCs w:val="32"/>
          <w:u w:val="none"/>
          <w:shd w:val="clear" w:color="auto" w:fill="auto"/>
          <w:lang w:eastAsia="zh-CN"/>
        </w:rPr>
        <w:t>、评审报告</w:t>
      </w:r>
      <w:r>
        <w:rPr>
          <w:rFonts w:hint="eastAsia" w:ascii="仿宋_GB2312" w:hAnsi="仿宋_GB2312" w:eastAsia="仿宋_GB2312" w:cs="仿宋_GB2312"/>
          <w:i w:val="0"/>
          <w:iCs w:val="0"/>
          <w:caps w:val="0"/>
          <w:color w:val="auto"/>
          <w:spacing w:val="0"/>
          <w:sz w:val="32"/>
          <w:szCs w:val="32"/>
          <w:u w:val="none"/>
          <w:shd w:val="clear" w:color="auto" w:fill="auto"/>
        </w:rPr>
        <w:t>等在案佐证。</w:t>
      </w:r>
    </w:p>
    <w:p>
      <w:pPr>
        <w:snapToGrid w:val="0"/>
        <w:spacing w:line="360" w:lineRule="auto"/>
        <w:ind w:firstLine="640" w:firstLineChars="200"/>
        <w:rPr>
          <w:rFonts w:hint="eastAsia" w:ascii="黑体" w:hAnsi="黑体" w:eastAsia="黑体" w:cs="黑体"/>
          <w:sz w:val="32"/>
          <w:szCs w:val="32"/>
          <w:lang w:val="en-US" w:eastAsia="zh-CN"/>
        </w:rPr>
      </w:pPr>
      <w:r>
        <w:rPr>
          <w:rStyle w:val="8"/>
          <w:rFonts w:hint="eastAsia" w:ascii="黑体" w:hAnsi="黑体" w:eastAsia="黑体" w:cs="黑体"/>
          <w:b w:val="0"/>
          <w:i w:val="0"/>
          <w:iCs w:val="0"/>
          <w:caps w:val="0"/>
          <w:spacing w:val="0"/>
          <w:sz w:val="32"/>
          <w:szCs w:val="32"/>
          <w:shd w:val="clear" w:color="auto" w:fill="FFFFFF"/>
          <w:lang w:bidi="ar"/>
        </w:rPr>
        <w:t>经审查，本机关认为：</w:t>
      </w:r>
    </w:p>
    <w:p>
      <w:pPr>
        <w:snapToGrid w:val="0"/>
        <w:spacing w:line="360" w:lineRule="auto"/>
        <w:ind w:firstLine="640" w:firstLineChars="200"/>
        <w:rPr>
          <w:rFonts w:hint="eastAsia" w:ascii="仿宋_GB2312" w:hAnsi="仿宋_GB2312" w:eastAsia="仿宋_GB2312" w:cs="仿宋_GB2312"/>
          <w:b/>
          <w:sz w:val="32"/>
          <w:szCs w:val="32"/>
        </w:rPr>
      </w:pPr>
      <w:r>
        <w:rPr>
          <w:rFonts w:hint="eastAsia" w:ascii="仿宋_GB2312" w:hAnsi="仿宋_GB2312" w:eastAsia="仿宋_GB2312" w:cs="仿宋_GB2312"/>
          <w:b/>
          <w:bCs/>
          <w:sz w:val="32"/>
          <w:szCs w:val="32"/>
          <w:shd w:val="clear" w:color="auto" w:fill="FFFFFF"/>
          <w:lang w:bidi="ar"/>
        </w:rPr>
        <w:t>一是</w:t>
      </w:r>
      <w:r>
        <w:rPr>
          <w:rFonts w:hint="eastAsia" w:ascii="仿宋_GB2312" w:hAnsi="仿宋_GB2312" w:eastAsia="仿宋_GB2312" w:cs="仿宋_GB2312"/>
          <w:sz w:val="32"/>
          <w:szCs w:val="32"/>
        </w:rPr>
        <w:t>招标文件</w:t>
      </w:r>
      <w:r>
        <w:rPr>
          <w:rFonts w:hint="eastAsia" w:ascii="仿宋_GB2312" w:hAnsi="宋体" w:eastAsia="仿宋_GB2312" w:cs="仿宋_GB2312"/>
          <w:bCs/>
          <w:color w:val="000000"/>
          <w:sz w:val="32"/>
          <w:szCs w:val="32"/>
          <w:lang w:val="en-US" w:eastAsia="zh-CN"/>
        </w:rPr>
        <w:t>明确了</w:t>
      </w:r>
      <w:r>
        <w:rPr>
          <w:rFonts w:hint="eastAsia" w:ascii="仿宋_GB2312" w:hAnsi="宋体" w:eastAsia="仿宋_GB2312" w:cs="仿宋_GB2312"/>
          <w:bCs/>
          <w:color w:val="000000"/>
          <w:sz w:val="32"/>
          <w:szCs w:val="32"/>
        </w:rPr>
        <w:t>“★”条款</w:t>
      </w:r>
      <w:r>
        <w:rPr>
          <w:rFonts w:hint="eastAsia" w:ascii="仿宋_GB2312" w:hAnsi="宋体" w:eastAsia="仿宋_GB2312" w:cs="仿宋_GB2312"/>
          <w:bCs/>
          <w:color w:val="000000"/>
          <w:sz w:val="32"/>
          <w:szCs w:val="32"/>
          <w:lang w:val="en-US" w:eastAsia="zh-CN"/>
        </w:rPr>
        <w:t>内容的响应标准、填写要求</w:t>
      </w:r>
      <w:r>
        <w:rPr>
          <w:rFonts w:hint="eastAsia" w:ascii="仿宋_GB2312" w:hAnsi="宋体" w:eastAsia="仿宋_GB2312" w:cs="仿宋_GB2312"/>
          <w:bCs/>
          <w:color w:val="000000"/>
          <w:sz w:val="32"/>
          <w:szCs w:val="32"/>
          <w:lang w:eastAsia="zh-CN"/>
        </w:rPr>
        <w:t>，</w:t>
      </w:r>
      <w:r>
        <w:rPr>
          <w:rFonts w:hint="eastAsia" w:ascii="仿宋_GB2312" w:hAnsi="仿宋_GB2312" w:eastAsia="仿宋_GB2312" w:cs="仿宋_GB2312"/>
          <w:bCs/>
          <w:sz w:val="32"/>
          <w:szCs w:val="32"/>
        </w:rPr>
        <w:t>投诉人投标文件</w:t>
      </w:r>
      <w:r>
        <w:rPr>
          <w:rFonts w:hint="eastAsia" w:ascii="仿宋_GB2312" w:hAnsi="仿宋_GB2312" w:eastAsia="仿宋_GB2312" w:cs="仿宋_GB2312"/>
          <w:bCs/>
          <w:sz w:val="32"/>
          <w:szCs w:val="32"/>
          <w:lang w:val="en-US" w:eastAsia="zh-CN"/>
        </w:rPr>
        <w:t>未按照招标文件规定的</w:t>
      </w:r>
      <w:r>
        <w:rPr>
          <w:rFonts w:hint="eastAsia" w:ascii="仿宋_GB2312" w:hAnsi="宋体" w:eastAsia="仿宋_GB2312" w:cs="仿宋_GB2312"/>
          <w:bCs/>
          <w:color w:val="000000"/>
          <w:sz w:val="32"/>
          <w:szCs w:val="32"/>
          <w:lang w:val="en-US" w:eastAsia="zh-CN"/>
        </w:rPr>
        <w:t>标准要求进行</w:t>
      </w:r>
      <w:r>
        <w:rPr>
          <w:rFonts w:hint="eastAsia" w:ascii="仿宋_GB2312" w:hAnsi="宋体" w:eastAsia="仿宋_GB2312" w:cs="仿宋_GB2312"/>
          <w:bCs/>
          <w:color w:val="000000"/>
          <w:sz w:val="32"/>
          <w:szCs w:val="32"/>
        </w:rPr>
        <w:t>响应</w:t>
      </w:r>
      <w:r>
        <w:rPr>
          <w:rFonts w:hint="eastAsia" w:ascii="仿宋_GB2312" w:hAnsi="宋体" w:eastAsia="仿宋_GB2312" w:cs="仿宋_GB2312"/>
          <w:bCs/>
          <w:color w:val="000000"/>
          <w:sz w:val="32"/>
          <w:szCs w:val="32"/>
          <w:lang w:eastAsia="zh-CN"/>
        </w:rPr>
        <w:t>。</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是</w:t>
      </w:r>
      <w:r>
        <w:rPr>
          <w:rFonts w:hint="eastAsia" w:ascii="仿宋_GB2312" w:hAnsi="仿宋_GB2312" w:eastAsia="仿宋_GB2312" w:cs="仿宋_GB2312"/>
          <w:sz w:val="32"/>
          <w:szCs w:val="32"/>
          <w:shd w:val="clear" w:color="auto" w:fill="FFFFFF"/>
        </w:rPr>
        <w:t>评标委员会根据招标文件规定的评标方法、标准及投标人提供的投标文件，</w:t>
      </w:r>
      <w:r>
        <w:rPr>
          <w:rFonts w:ascii="仿宋_GB2312" w:hAnsi="仿宋_GB2312" w:eastAsia="仿宋_GB2312" w:cs="仿宋_GB2312"/>
          <w:bCs/>
          <w:sz w:val="32"/>
          <w:szCs w:val="32"/>
        </w:rPr>
        <w:t>一致认为投诉人的投标不通过本项目符合性审查</w:t>
      </w:r>
      <w:r>
        <w:rPr>
          <w:rFonts w:hint="eastAsia" w:ascii="仿宋_GB2312" w:hAnsi="仿宋_GB2312" w:eastAsia="仿宋_GB2312" w:cs="仿宋_GB2312"/>
          <w:bCs/>
          <w:sz w:val="32"/>
          <w:szCs w:val="32"/>
        </w:rPr>
        <w:t>，其投标无效，没有违反政府采购法律法规的有关规定</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rPr>
        <w:t>综上，</w:t>
      </w:r>
      <w:r>
        <w:rPr>
          <w:rFonts w:hint="eastAsia" w:ascii="仿宋_GB2312" w:hAnsi="仿宋_GB2312" w:eastAsia="仿宋_GB2312" w:cs="仿宋_GB2312"/>
          <w:b/>
          <w:sz w:val="32"/>
          <w:szCs w:val="32"/>
        </w:rPr>
        <w:t>投诉事项缺乏事实依据，投诉不成立。</w:t>
      </w:r>
    </w:p>
    <w:p>
      <w:pPr>
        <w:snapToGrid w:val="0"/>
        <w:spacing w:line="360" w:lineRule="auto"/>
        <w:ind w:firstLine="640" w:firstLineChars="200"/>
        <w:rPr>
          <w:rFonts w:hint="eastAsia" w:ascii="黑体" w:hAnsi="黑体" w:eastAsia="黑体" w:cs="黑体"/>
          <w:sz w:val="32"/>
          <w:szCs w:val="32"/>
        </w:rPr>
      </w:pPr>
      <w:r>
        <w:rPr>
          <w:rFonts w:hint="eastAsia" w:ascii="黑体" w:hAnsi="黑体" w:eastAsia="黑体" w:cs="黑体"/>
          <w:sz w:val="32"/>
          <w:szCs w:val="32"/>
        </w:rPr>
        <w:t>综上，本机关决定如下：</w:t>
      </w:r>
    </w:p>
    <w:p>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根据</w:t>
      </w:r>
      <w:r>
        <w:rPr>
          <w:rFonts w:hint="eastAsia" w:ascii="仿宋_GB2312" w:hAnsi="仿宋_GB2312" w:eastAsia="仿宋_GB2312" w:cs="仿宋_GB2312"/>
          <w:sz w:val="32"/>
          <w:szCs w:val="32"/>
        </w:rPr>
        <w:t>《政府采购质疑和投诉办法》（财政部令第94号）第二十九条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投诉处理过程中，有下列情形之一的，财政部门应当驳回投诉：……</w:t>
      </w:r>
      <w:r>
        <w:rPr>
          <w:rFonts w:hint="eastAsia" w:ascii="仿宋_GB2312" w:hAnsi="仿宋_GB2312" w:eastAsia="仿宋_GB2312" w:cs="仿宋_GB2312"/>
          <w:sz w:val="32"/>
          <w:szCs w:val="32"/>
          <w:lang w:eastAsia="zh-CN"/>
        </w:rPr>
        <w:t>（二）投诉事项缺乏事实依据，投诉事项不成立；</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的规定，投诉人的投诉事项缺乏事实依据，投诉事项不成立，驳回投诉。</w:t>
      </w:r>
    </w:p>
    <w:p>
      <w:pPr>
        <w:snapToGrid w:val="0"/>
        <w:spacing w:line="360" w:lineRule="auto"/>
        <w:ind w:firstLine="640" w:firstLineChars="200"/>
        <w:contextualSpacing/>
        <w:rPr>
          <w:rFonts w:hint="eastAsia" w:ascii="仿宋_GB2312" w:eastAsia="仿宋_GB2312"/>
          <w:sz w:val="32"/>
          <w:szCs w:val="32"/>
        </w:rPr>
      </w:pPr>
      <w:r>
        <w:rPr>
          <w:rFonts w:hint="eastAsia" w:ascii="仿宋_GB2312" w:hAnsi="仿宋_GB2312" w:eastAsia="仿宋_GB2312" w:cs="仿宋_GB2312"/>
          <w:bCs/>
          <w:sz w:val="32"/>
          <w:szCs w:val="32"/>
        </w:rPr>
        <w:t>如不服本处理决定，可在收到本决定书之日起60</w:t>
      </w:r>
      <w:r>
        <w:rPr>
          <w:rFonts w:hint="eastAsia" w:ascii="仿宋_GB2312" w:hAnsi="仿宋_GB2312" w:eastAsia="仿宋_GB2312" w:cs="仿宋_GB2312"/>
          <w:bCs/>
          <w:sz w:val="32"/>
          <w:szCs w:val="32"/>
          <w:lang w:eastAsia="zh-CN"/>
        </w:rPr>
        <w:t>日</w:t>
      </w:r>
      <w:r>
        <w:rPr>
          <w:rFonts w:hint="eastAsia" w:ascii="仿宋_GB2312" w:hAnsi="仿宋_GB2312" w:eastAsia="仿宋_GB2312" w:cs="仿宋_GB2312"/>
          <w:bCs/>
          <w:sz w:val="32"/>
          <w:szCs w:val="32"/>
        </w:rPr>
        <w:t>内</w:t>
      </w:r>
      <w:r>
        <w:rPr>
          <w:rFonts w:hint="eastAsia" w:ascii="仿宋_GB2312" w:hAnsi="仿宋_GB2312" w:eastAsia="仿宋_GB2312" w:cs="仿宋_GB2312"/>
          <w:bCs/>
          <w:sz w:val="32"/>
          <w:szCs w:val="32"/>
          <w:lang w:eastAsia="zh-CN"/>
        </w:rPr>
        <w:t>依法</w:t>
      </w:r>
      <w:r>
        <w:rPr>
          <w:rFonts w:hint="eastAsia" w:ascii="仿宋_GB2312" w:hAnsi="仿宋_GB2312" w:eastAsia="仿宋_GB2312" w:cs="仿宋_GB2312"/>
          <w:bCs/>
          <w:sz w:val="32"/>
          <w:szCs w:val="32"/>
        </w:rPr>
        <w:t>向广东省人民政府或中华人民共和国财政部申请行政复议，</w:t>
      </w:r>
      <w:r>
        <w:rPr>
          <w:rFonts w:hint="eastAsia" w:ascii="仿宋_GB2312" w:hAnsi="仿宋_GB2312" w:eastAsia="仿宋_GB2312" w:cs="仿宋_GB2312"/>
          <w:bCs/>
          <w:sz w:val="32"/>
          <w:szCs w:val="32"/>
          <w:lang w:eastAsia="zh-CN"/>
        </w:rPr>
        <w:t>也可在</w:t>
      </w:r>
      <w:r>
        <w:rPr>
          <w:rFonts w:hint="eastAsia" w:ascii="仿宋_GB2312" w:hAnsi="仿宋_GB2312" w:eastAsia="仿宋_GB2312" w:cs="仿宋_GB2312"/>
          <w:bCs/>
          <w:sz w:val="32"/>
          <w:szCs w:val="32"/>
        </w:rPr>
        <w:t>本决定书</w:t>
      </w:r>
      <w:r>
        <w:rPr>
          <w:rFonts w:hint="eastAsia" w:ascii="仿宋_GB2312" w:hAnsi="仿宋_GB2312" w:eastAsia="仿宋_GB2312" w:cs="仿宋_GB2312"/>
          <w:bCs/>
          <w:sz w:val="32"/>
          <w:szCs w:val="32"/>
          <w:lang w:eastAsia="zh-CN"/>
        </w:rPr>
        <w:t>送达</w:t>
      </w:r>
      <w:r>
        <w:rPr>
          <w:rFonts w:hint="eastAsia" w:ascii="仿宋_GB2312" w:hAnsi="仿宋_GB2312" w:eastAsia="仿宋_GB2312" w:cs="仿宋_GB2312"/>
          <w:bCs/>
          <w:sz w:val="32"/>
          <w:szCs w:val="32"/>
        </w:rPr>
        <w:t>之日起6个月内向有管辖权的法院提起行政诉讼。</w:t>
      </w:r>
    </w:p>
    <w:p>
      <w:pPr>
        <w:snapToGrid w:val="0"/>
        <w:spacing w:line="360" w:lineRule="auto"/>
        <w:contextualSpacing/>
        <w:rPr>
          <w:rFonts w:hint="eastAsia" w:ascii="仿宋_GB2312" w:eastAsia="仿宋_GB2312"/>
          <w:sz w:val="32"/>
          <w:szCs w:val="32"/>
        </w:rPr>
      </w:pPr>
    </w:p>
    <w:p>
      <w:pPr>
        <w:snapToGrid w:val="0"/>
        <w:spacing w:line="360" w:lineRule="auto"/>
        <w:contextualSpacing/>
        <w:rPr>
          <w:rFonts w:hint="eastAsia" w:ascii="仿宋_GB2312" w:eastAsia="仿宋_GB2312"/>
          <w:sz w:val="32"/>
          <w:szCs w:val="32"/>
        </w:rPr>
      </w:pPr>
    </w:p>
    <w:p>
      <w:pPr>
        <w:snapToGrid w:val="0"/>
        <w:spacing w:line="360" w:lineRule="auto"/>
        <w:contextualSpacing/>
        <w:rPr>
          <w:rFonts w:hint="eastAsia" w:ascii="仿宋_GB2312" w:eastAsia="仿宋_GB2312"/>
          <w:sz w:val="32"/>
          <w:szCs w:val="32"/>
        </w:rPr>
      </w:pPr>
    </w:p>
    <w:p>
      <w:pPr>
        <w:snapToGrid w:val="0"/>
        <w:spacing w:line="360" w:lineRule="auto"/>
        <w:ind w:firstLine="5532" w:firstLineChars="1729"/>
        <w:contextualSpacing/>
        <w:rPr>
          <w:rFonts w:hint="eastAsia" w:ascii="仿宋_GB2312" w:eastAsia="仿宋_GB2312"/>
          <w:sz w:val="32"/>
          <w:szCs w:val="32"/>
        </w:rPr>
      </w:pPr>
      <w:r>
        <w:rPr>
          <w:rFonts w:hint="eastAsia" w:ascii="仿宋_GB2312" w:eastAsia="仿宋_GB2312"/>
          <w:sz w:val="32"/>
          <w:szCs w:val="32"/>
        </w:rPr>
        <w:t>广东省财政厅</w:t>
      </w:r>
    </w:p>
    <w:p>
      <w:pPr>
        <w:snapToGrid w:val="0"/>
        <w:spacing w:line="360" w:lineRule="auto"/>
        <w:contextualSpacing/>
        <w:rPr>
          <w:rFonts w:hint="eastAsia" w:ascii="仿宋_GB2312"/>
          <w:sz w:val="2"/>
          <w:szCs w:val="2"/>
        </w:rPr>
      </w:pPr>
      <w:r>
        <w:rPr>
          <w:rFonts w:hint="eastAsia" w:ascii="仿宋_GB2312" w:eastAsia="仿宋_GB2312"/>
          <w:sz w:val="32"/>
          <w:szCs w:val="32"/>
        </w:rPr>
        <w:t xml:space="preserve">                                  20</w:t>
      </w:r>
      <w:r>
        <w:rPr>
          <w:rFonts w:hint="eastAsia" w:ascii="仿宋_GB2312" w:eastAsia="仿宋_GB2312"/>
          <w:sz w:val="32"/>
          <w:szCs w:val="32"/>
          <w:lang w:val="en-US" w:eastAsia="zh-CN"/>
        </w:rPr>
        <w:t>21</w:t>
      </w:r>
      <w:r>
        <w:rPr>
          <w:rFonts w:hint="eastAsia" w:ascii="仿宋_GB2312" w:eastAsia="仿宋_GB2312"/>
          <w:sz w:val="32"/>
          <w:szCs w:val="32"/>
        </w:rPr>
        <w:t>年</w:t>
      </w:r>
      <w:r>
        <w:rPr>
          <w:rFonts w:hint="eastAsia" w:ascii="仿宋_GB2312" w:eastAsia="仿宋_GB2312"/>
          <w:sz w:val="32"/>
          <w:szCs w:val="32"/>
          <w:lang w:val="en-US" w:eastAsia="zh-CN"/>
        </w:rPr>
        <w:t>11</w:t>
      </w:r>
      <w:r>
        <w:rPr>
          <w:rFonts w:hint="eastAsia" w:ascii="仿宋_GB2312" w:eastAsia="仿宋_GB2312"/>
          <w:sz w:val="32"/>
          <w:szCs w:val="32"/>
        </w:rPr>
        <w:t>月</w:t>
      </w:r>
      <w:r>
        <w:rPr>
          <w:rFonts w:hint="eastAsia" w:ascii="仿宋_GB2312" w:eastAsia="仿宋_GB2312"/>
          <w:sz w:val="32"/>
          <w:szCs w:val="32"/>
          <w:lang w:val="en-US" w:eastAsia="zh-CN"/>
        </w:rPr>
        <w:t>15</w:t>
      </w:r>
      <w:r>
        <w:rPr>
          <w:rFonts w:hint="eastAsia" w:ascii="仿宋_GB2312" w:eastAsia="仿宋_GB2312"/>
          <w:sz w:val="32"/>
          <w:szCs w:val="32"/>
        </w:rPr>
        <w:t>日</w:t>
      </w:r>
    </w:p>
    <w:sectPr>
      <w:footerReference r:id="rId3" w:type="default"/>
      <w:footerReference r:id="rId4" w:type="even"/>
      <w:pgSz w:w="11906" w:h="16838"/>
      <w:pgMar w:top="2041" w:right="1418" w:bottom="1418" w:left="1531" w:header="851" w:footer="992" w:gutter="0"/>
      <w:cols w:space="720" w:num="1"/>
      <w:docGrid w:type="linesAndChars" w:linePitch="308" w:charSpace="1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Yu Mincho Light">
    <w:altName w:val="MS Gothic"/>
    <w:panose1 w:val="00000000000000000000"/>
    <w:charset w:val="80"/>
    <w:family w:val="roman"/>
    <w:pitch w:val="default"/>
    <w:sig w:usb0="00000000" w:usb1="00000000" w:usb2="00000012" w:usb3="00000000" w:csb0="0002009F" w:csb1="00000000"/>
  </w:font>
  <w:font w:name="Tms Rmn">
    <w:altName w:val="Segoe Print"/>
    <w:panose1 w:val="020206030405050203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0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rFonts w:hint="eastAsia"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2</w:t>
    </w:r>
    <w:r>
      <w:rPr>
        <w:rFonts w:hint="eastAsia" w:ascii="仿宋_GB2312" w:eastAsia="仿宋_GB2312"/>
        <w:sz w:val="28"/>
        <w:szCs w:val="28"/>
      </w:rPr>
      <w:fldChar w:fldCharType="end"/>
    </w:r>
    <w:r>
      <w:rPr>
        <w:rFonts w:hint="eastAsia" w:ascii="仿宋_GB2312" w:eastAsia="仿宋_GB2312"/>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trackedChanges" w:enforcement="0"/>
  <w:defaultTabStop w:val="420"/>
  <w:hyphenationZone w:val="360"/>
  <w:drawingGridHorizontalSpacing w:val="211"/>
  <w:drawingGridVerticalSpacing w:val="15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A9E"/>
    <w:rsid w:val="00000234"/>
    <w:rsid w:val="00013855"/>
    <w:rsid w:val="00017DA9"/>
    <w:rsid w:val="00037DB2"/>
    <w:rsid w:val="00056C6E"/>
    <w:rsid w:val="0006106B"/>
    <w:rsid w:val="00072608"/>
    <w:rsid w:val="000747F3"/>
    <w:rsid w:val="00084A50"/>
    <w:rsid w:val="000925DC"/>
    <w:rsid w:val="000A5079"/>
    <w:rsid w:val="000B458A"/>
    <w:rsid w:val="000B5038"/>
    <w:rsid w:val="000E1095"/>
    <w:rsid w:val="000E38A0"/>
    <w:rsid w:val="000E7D34"/>
    <w:rsid w:val="000F3BF6"/>
    <w:rsid w:val="00104B07"/>
    <w:rsid w:val="00112AA1"/>
    <w:rsid w:val="0011490A"/>
    <w:rsid w:val="00115EF0"/>
    <w:rsid w:val="00121CB3"/>
    <w:rsid w:val="00127F8A"/>
    <w:rsid w:val="00135A43"/>
    <w:rsid w:val="00136AB4"/>
    <w:rsid w:val="00153DA5"/>
    <w:rsid w:val="00167AE1"/>
    <w:rsid w:val="0017489C"/>
    <w:rsid w:val="0017654A"/>
    <w:rsid w:val="00176B70"/>
    <w:rsid w:val="00197380"/>
    <w:rsid w:val="001B1C9E"/>
    <w:rsid w:val="001B24D8"/>
    <w:rsid w:val="001B5A8E"/>
    <w:rsid w:val="001C75BF"/>
    <w:rsid w:val="001D04E6"/>
    <w:rsid w:val="001D0A1F"/>
    <w:rsid w:val="001E11FD"/>
    <w:rsid w:val="001F453F"/>
    <w:rsid w:val="00204271"/>
    <w:rsid w:val="00211FBF"/>
    <w:rsid w:val="002214A1"/>
    <w:rsid w:val="00227324"/>
    <w:rsid w:val="002327FB"/>
    <w:rsid w:val="00260C25"/>
    <w:rsid w:val="0026371B"/>
    <w:rsid w:val="00265A31"/>
    <w:rsid w:val="0027310D"/>
    <w:rsid w:val="0027750D"/>
    <w:rsid w:val="00282E8F"/>
    <w:rsid w:val="00283541"/>
    <w:rsid w:val="002A5D22"/>
    <w:rsid w:val="002B41D5"/>
    <w:rsid w:val="002C5A7C"/>
    <w:rsid w:val="002D032B"/>
    <w:rsid w:val="002D18BF"/>
    <w:rsid w:val="002D2CEA"/>
    <w:rsid w:val="002D41C8"/>
    <w:rsid w:val="002E4A16"/>
    <w:rsid w:val="002E7742"/>
    <w:rsid w:val="00325134"/>
    <w:rsid w:val="00327169"/>
    <w:rsid w:val="0033078B"/>
    <w:rsid w:val="003462F5"/>
    <w:rsid w:val="0035053B"/>
    <w:rsid w:val="00352104"/>
    <w:rsid w:val="00381491"/>
    <w:rsid w:val="003939FF"/>
    <w:rsid w:val="003A63B0"/>
    <w:rsid w:val="003B7EC7"/>
    <w:rsid w:val="003C546B"/>
    <w:rsid w:val="003C6D9E"/>
    <w:rsid w:val="003D2789"/>
    <w:rsid w:val="003E000E"/>
    <w:rsid w:val="003E70A0"/>
    <w:rsid w:val="003F0786"/>
    <w:rsid w:val="003F14A8"/>
    <w:rsid w:val="003F21D4"/>
    <w:rsid w:val="003F7716"/>
    <w:rsid w:val="00405F46"/>
    <w:rsid w:val="004316A8"/>
    <w:rsid w:val="004334CF"/>
    <w:rsid w:val="00434CD5"/>
    <w:rsid w:val="004650D3"/>
    <w:rsid w:val="00476C4C"/>
    <w:rsid w:val="0048754C"/>
    <w:rsid w:val="00493FB4"/>
    <w:rsid w:val="004B7B46"/>
    <w:rsid w:val="004D12C8"/>
    <w:rsid w:val="004E4DF6"/>
    <w:rsid w:val="004E5B8E"/>
    <w:rsid w:val="004E730A"/>
    <w:rsid w:val="004F374F"/>
    <w:rsid w:val="00513D03"/>
    <w:rsid w:val="00515B23"/>
    <w:rsid w:val="00516D62"/>
    <w:rsid w:val="00520516"/>
    <w:rsid w:val="00527888"/>
    <w:rsid w:val="00541AB8"/>
    <w:rsid w:val="00546EA6"/>
    <w:rsid w:val="00554F29"/>
    <w:rsid w:val="00556436"/>
    <w:rsid w:val="00560AC0"/>
    <w:rsid w:val="005837B7"/>
    <w:rsid w:val="00586A89"/>
    <w:rsid w:val="005873D2"/>
    <w:rsid w:val="005903C4"/>
    <w:rsid w:val="00593524"/>
    <w:rsid w:val="005A43D2"/>
    <w:rsid w:val="005B11FE"/>
    <w:rsid w:val="005B1FDD"/>
    <w:rsid w:val="005B43D3"/>
    <w:rsid w:val="005D6A41"/>
    <w:rsid w:val="005E78F4"/>
    <w:rsid w:val="005F341C"/>
    <w:rsid w:val="0060291B"/>
    <w:rsid w:val="00604420"/>
    <w:rsid w:val="00614C65"/>
    <w:rsid w:val="00616EA6"/>
    <w:rsid w:val="006239A9"/>
    <w:rsid w:val="00627BA0"/>
    <w:rsid w:val="006374D3"/>
    <w:rsid w:val="006573EB"/>
    <w:rsid w:val="00665E7F"/>
    <w:rsid w:val="00671F86"/>
    <w:rsid w:val="006730E4"/>
    <w:rsid w:val="006858C4"/>
    <w:rsid w:val="00687B77"/>
    <w:rsid w:val="00694343"/>
    <w:rsid w:val="006B74BC"/>
    <w:rsid w:val="006C35CF"/>
    <w:rsid w:val="006C7D57"/>
    <w:rsid w:val="006D1087"/>
    <w:rsid w:val="006D3FF1"/>
    <w:rsid w:val="006D590A"/>
    <w:rsid w:val="006F5AAD"/>
    <w:rsid w:val="007110D7"/>
    <w:rsid w:val="007118F4"/>
    <w:rsid w:val="00717916"/>
    <w:rsid w:val="00721823"/>
    <w:rsid w:val="00722373"/>
    <w:rsid w:val="00722721"/>
    <w:rsid w:val="0072382A"/>
    <w:rsid w:val="007250B0"/>
    <w:rsid w:val="0072746C"/>
    <w:rsid w:val="007336F9"/>
    <w:rsid w:val="00733844"/>
    <w:rsid w:val="00733D87"/>
    <w:rsid w:val="00751E51"/>
    <w:rsid w:val="00761759"/>
    <w:rsid w:val="0078002F"/>
    <w:rsid w:val="0078719B"/>
    <w:rsid w:val="00790372"/>
    <w:rsid w:val="00793B0F"/>
    <w:rsid w:val="007959D0"/>
    <w:rsid w:val="007978FF"/>
    <w:rsid w:val="007B00C3"/>
    <w:rsid w:val="007B7056"/>
    <w:rsid w:val="007C2681"/>
    <w:rsid w:val="007C3524"/>
    <w:rsid w:val="007C7F8A"/>
    <w:rsid w:val="007D182B"/>
    <w:rsid w:val="007D1A4B"/>
    <w:rsid w:val="008054F5"/>
    <w:rsid w:val="008064CF"/>
    <w:rsid w:val="008164CA"/>
    <w:rsid w:val="008367F3"/>
    <w:rsid w:val="00865286"/>
    <w:rsid w:val="008663BA"/>
    <w:rsid w:val="00870105"/>
    <w:rsid w:val="00870529"/>
    <w:rsid w:val="00872FBE"/>
    <w:rsid w:val="00873FC0"/>
    <w:rsid w:val="00874139"/>
    <w:rsid w:val="0088674C"/>
    <w:rsid w:val="00886E05"/>
    <w:rsid w:val="008970A7"/>
    <w:rsid w:val="008A2BF2"/>
    <w:rsid w:val="008C2C82"/>
    <w:rsid w:val="008E0CF8"/>
    <w:rsid w:val="008F083F"/>
    <w:rsid w:val="008F3023"/>
    <w:rsid w:val="0090769E"/>
    <w:rsid w:val="00911B13"/>
    <w:rsid w:val="0091200F"/>
    <w:rsid w:val="00931A1E"/>
    <w:rsid w:val="0095417A"/>
    <w:rsid w:val="00964359"/>
    <w:rsid w:val="009659CB"/>
    <w:rsid w:val="00965A46"/>
    <w:rsid w:val="00990728"/>
    <w:rsid w:val="009A38D3"/>
    <w:rsid w:val="009B14A2"/>
    <w:rsid w:val="009C34EE"/>
    <w:rsid w:val="009D215E"/>
    <w:rsid w:val="009E7E16"/>
    <w:rsid w:val="00A11CBA"/>
    <w:rsid w:val="00A16BB0"/>
    <w:rsid w:val="00A40D6B"/>
    <w:rsid w:val="00A4348C"/>
    <w:rsid w:val="00A46A58"/>
    <w:rsid w:val="00A5386F"/>
    <w:rsid w:val="00A55A9E"/>
    <w:rsid w:val="00A605E7"/>
    <w:rsid w:val="00A7118D"/>
    <w:rsid w:val="00A77191"/>
    <w:rsid w:val="00A777FC"/>
    <w:rsid w:val="00A822E3"/>
    <w:rsid w:val="00A95E6E"/>
    <w:rsid w:val="00A977CE"/>
    <w:rsid w:val="00AA3329"/>
    <w:rsid w:val="00AB1BE3"/>
    <w:rsid w:val="00AC33D5"/>
    <w:rsid w:val="00AD48EE"/>
    <w:rsid w:val="00AD68F6"/>
    <w:rsid w:val="00AD6A40"/>
    <w:rsid w:val="00AE3AC1"/>
    <w:rsid w:val="00AF23A7"/>
    <w:rsid w:val="00B12480"/>
    <w:rsid w:val="00B21835"/>
    <w:rsid w:val="00B2612D"/>
    <w:rsid w:val="00B32B4D"/>
    <w:rsid w:val="00B332BD"/>
    <w:rsid w:val="00B54E56"/>
    <w:rsid w:val="00B603A3"/>
    <w:rsid w:val="00B6042D"/>
    <w:rsid w:val="00B649E0"/>
    <w:rsid w:val="00B65B35"/>
    <w:rsid w:val="00B825EB"/>
    <w:rsid w:val="00B91AB0"/>
    <w:rsid w:val="00B94BD6"/>
    <w:rsid w:val="00BA5A1C"/>
    <w:rsid w:val="00BB02C8"/>
    <w:rsid w:val="00BB2125"/>
    <w:rsid w:val="00BD13B7"/>
    <w:rsid w:val="00BD509D"/>
    <w:rsid w:val="00BD691C"/>
    <w:rsid w:val="00BE66E8"/>
    <w:rsid w:val="00C01B49"/>
    <w:rsid w:val="00C02918"/>
    <w:rsid w:val="00C0484B"/>
    <w:rsid w:val="00C22CA2"/>
    <w:rsid w:val="00C528D5"/>
    <w:rsid w:val="00C62426"/>
    <w:rsid w:val="00C66F60"/>
    <w:rsid w:val="00C70979"/>
    <w:rsid w:val="00C757D7"/>
    <w:rsid w:val="00C75E46"/>
    <w:rsid w:val="00C822A3"/>
    <w:rsid w:val="00C90141"/>
    <w:rsid w:val="00C91F64"/>
    <w:rsid w:val="00C962A5"/>
    <w:rsid w:val="00CA00C9"/>
    <w:rsid w:val="00CB1E84"/>
    <w:rsid w:val="00CD42A6"/>
    <w:rsid w:val="00CE6CBE"/>
    <w:rsid w:val="00CF2F11"/>
    <w:rsid w:val="00CF40EB"/>
    <w:rsid w:val="00CF60E5"/>
    <w:rsid w:val="00D1112E"/>
    <w:rsid w:val="00D12F34"/>
    <w:rsid w:val="00D1771C"/>
    <w:rsid w:val="00D21D90"/>
    <w:rsid w:val="00D267EE"/>
    <w:rsid w:val="00D32265"/>
    <w:rsid w:val="00D325F6"/>
    <w:rsid w:val="00D50F9F"/>
    <w:rsid w:val="00D5207F"/>
    <w:rsid w:val="00D60C62"/>
    <w:rsid w:val="00D62623"/>
    <w:rsid w:val="00D71EDD"/>
    <w:rsid w:val="00D84DA6"/>
    <w:rsid w:val="00DA3E5B"/>
    <w:rsid w:val="00DA3F20"/>
    <w:rsid w:val="00DA4037"/>
    <w:rsid w:val="00DB6A6E"/>
    <w:rsid w:val="00DB6B33"/>
    <w:rsid w:val="00DF0D52"/>
    <w:rsid w:val="00E01C58"/>
    <w:rsid w:val="00E208CE"/>
    <w:rsid w:val="00E33B43"/>
    <w:rsid w:val="00E45FBE"/>
    <w:rsid w:val="00E4745B"/>
    <w:rsid w:val="00E5648F"/>
    <w:rsid w:val="00E62A85"/>
    <w:rsid w:val="00E866F7"/>
    <w:rsid w:val="00E9138D"/>
    <w:rsid w:val="00E93B8F"/>
    <w:rsid w:val="00E9430D"/>
    <w:rsid w:val="00EA67B4"/>
    <w:rsid w:val="00EC4160"/>
    <w:rsid w:val="00EC5185"/>
    <w:rsid w:val="00EC56A7"/>
    <w:rsid w:val="00EC58EA"/>
    <w:rsid w:val="00ED492A"/>
    <w:rsid w:val="00EE4A80"/>
    <w:rsid w:val="00EE51D7"/>
    <w:rsid w:val="00EE5987"/>
    <w:rsid w:val="00EF0122"/>
    <w:rsid w:val="00EF178A"/>
    <w:rsid w:val="00EF69F6"/>
    <w:rsid w:val="00EF6FA4"/>
    <w:rsid w:val="00F012F6"/>
    <w:rsid w:val="00F0142A"/>
    <w:rsid w:val="00F0326F"/>
    <w:rsid w:val="00F32FB4"/>
    <w:rsid w:val="00F34823"/>
    <w:rsid w:val="00F36320"/>
    <w:rsid w:val="00F376D5"/>
    <w:rsid w:val="00F4432F"/>
    <w:rsid w:val="00F5584E"/>
    <w:rsid w:val="00F67281"/>
    <w:rsid w:val="00F82884"/>
    <w:rsid w:val="00FA61BE"/>
    <w:rsid w:val="00FB352E"/>
    <w:rsid w:val="00FB6C07"/>
    <w:rsid w:val="00FC234A"/>
    <w:rsid w:val="00FC669A"/>
    <w:rsid w:val="00FD210D"/>
    <w:rsid w:val="00FE4E17"/>
    <w:rsid w:val="00FF0CC3"/>
    <w:rsid w:val="02047647"/>
    <w:rsid w:val="03051193"/>
    <w:rsid w:val="03C717E8"/>
    <w:rsid w:val="03F46994"/>
    <w:rsid w:val="06FE3509"/>
    <w:rsid w:val="07DA278C"/>
    <w:rsid w:val="08DC2078"/>
    <w:rsid w:val="0A4B10CF"/>
    <w:rsid w:val="0BC950A2"/>
    <w:rsid w:val="0ED80606"/>
    <w:rsid w:val="11E140EE"/>
    <w:rsid w:val="132C6AE4"/>
    <w:rsid w:val="133C4DE6"/>
    <w:rsid w:val="15BF0A98"/>
    <w:rsid w:val="1702459D"/>
    <w:rsid w:val="18E82D34"/>
    <w:rsid w:val="195011C2"/>
    <w:rsid w:val="1A5621CD"/>
    <w:rsid w:val="1D720BD9"/>
    <w:rsid w:val="1DB81F70"/>
    <w:rsid w:val="1E0E7321"/>
    <w:rsid w:val="1F505F8D"/>
    <w:rsid w:val="203A56B2"/>
    <w:rsid w:val="24351E3F"/>
    <w:rsid w:val="24F2358D"/>
    <w:rsid w:val="25D32679"/>
    <w:rsid w:val="26483B70"/>
    <w:rsid w:val="28663D61"/>
    <w:rsid w:val="28760A91"/>
    <w:rsid w:val="29860397"/>
    <w:rsid w:val="2A093A96"/>
    <w:rsid w:val="2AA869F2"/>
    <w:rsid w:val="2BD20E30"/>
    <w:rsid w:val="2BF66D51"/>
    <w:rsid w:val="2C4E4C8C"/>
    <w:rsid w:val="2D2D1B04"/>
    <w:rsid w:val="2D4860AB"/>
    <w:rsid w:val="2F4E09AA"/>
    <w:rsid w:val="30AB2E53"/>
    <w:rsid w:val="311026DD"/>
    <w:rsid w:val="3242336F"/>
    <w:rsid w:val="3257224C"/>
    <w:rsid w:val="330E58B3"/>
    <w:rsid w:val="33F94EEA"/>
    <w:rsid w:val="36976161"/>
    <w:rsid w:val="37A049CB"/>
    <w:rsid w:val="380F4680"/>
    <w:rsid w:val="3810129F"/>
    <w:rsid w:val="388E23AF"/>
    <w:rsid w:val="3BE52055"/>
    <w:rsid w:val="3D236844"/>
    <w:rsid w:val="3E304889"/>
    <w:rsid w:val="3E6859F2"/>
    <w:rsid w:val="3EC909E7"/>
    <w:rsid w:val="3F0137EE"/>
    <w:rsid w:val="3F51718B"/>
    <w:rsid w:val="3F812F20"/>
    <w:rsid w:val="41D6314C"/>
    <w:rsid w:val="42302296"/>
    <w:rsid w:val="45754808"/>
    <w:rsid w:val="47D11414"/>
    <w:rsid w:val="48F92093"/>
    <w:rsid w:val="491D74F7"/>
    <w:rsid w:val="4A151E8C"/>
    <w:rsid w:val="4A4D5AA3"/>
    <w:rsid w:val="4AD537F8"/>
    <w:rsid w:val="4AEB2544"/>
    <w:rsid w:val="4CC33834"/>
    <w:rsid w:val="4D831DFC"/>
    <w:rsid w:val="4DEB0CD3"/>
    <w:rsid w:val="50AC1900"/>
    <w:rsid w:val="514E1D50"/>
    <w:rsid w:val="52411034"/>
    <w:rsid w:val="526E106A"/>
    <w:rsid w:val="52BC6F37"/>
    <w:rsid w:val="54660FD4"/>
    <w:rsid w:val="58DC5D25"/>
    <w:rsid w:val="5A0567AB"/>
    <w:rsid w:val="5AA73439"/>
    <w:rsid w:val="5C2A354C"/>
    <w:rsid w:val="5CDF5A14"/>
    <w:rsid w:val="5DD61D8E"/>
    <w:rsid w:val="5E8A6320"/>
    <w:rsid w:val="5E9D03E6"/>
    <w:rsid w:val="61D26056"/>
    <w:rsid w:val="62406A72"/>
    <w:rsid w:val="63E26E65"/>
    <w:rsid w:val="64C13755"/>
    <w:rsid w:val="65CC4CCC"/>
    <w:rsid w:val="66870CE7"/>
    <w:rsid w:val="67D204DF"/>
    <w:rsid w:val="684767DF"/>
    <w:rsid w:val="68C63AB9"/>
    <w:rsid w:val="6917393C"/>
    <w:rsid w:val="693623E8"/>
    <w:rsid w:val="695C1BB7"/>
    <w:rsid w:val="699D0DEF"/>
    <w:rsid w:val="69B73AD4"/>
    <w:rsid w:val="69D96136"/>
    <w:rsid w:val="6C88015E"/>
    <w:rsid w:val="6D22276D"/>
    <w:rsid w:val="70833452"/>
    <w:rsid w:val="71BE651D"/>
    <w:rsid w:val="724152C2"/>
    <w:rsid w:val="72A43E72"/>
    <w:rsid w:val="74751F74"/>
    <w:rsid w:val="766F457A"/>
    <w:rsid w:val="77E76E45"/>
    <w:rsid w:val="77FB4A3F"/>
    <w:rsid w:val="79A0131D"/>
    <w:rsid w:val="79EB11FE"/>
    <w:rsid w:val="7A2C0F51"/>
    <w:rsid w:val="7B5D4579"/>
    <w:rsid w:val="7C8270B8"/>
    <w:rsid w:val="7E927553"/>
    <w:rsid w:val="7EB10319"/>
    <w:rsid w:val="7F16680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8">
    <w:name w:val="Default Paragraph Font"/>
    <w:semiHidden/>
    <w:uiPriority w:val="0"/>
  </w:style>
  <w:style w:type="table" w:default="1" w:styleId="10">
    <w:name w:val="Normal Table"/>
    <w:semiHidden/>
    <w:uiPriority w:val="0"/>
    <w:tblPr>
      <w:tblStyle w:val="10"/>
      <w:tblLayout w:type="fixed"/>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eastAsia="宋体" w:cs="Times New Roman"/>
    </w:rPr>
  </w:style>
  <w:style w:type="paragraph" w:styleId="3">
    <w:name w:val="Body Text Indent"/>
    <w:basedOn w:val="1"/>
    <w:unhideWhenUsed/>
    <w:qFormat/>
    <w:uiPriority w:val="99"/>
    <w:pPr>
      <w:spacing w:after="120"/>
      <w:ind w:left="420" w:leftChars="200"/>
    </w:pPr>
    <w:rPr>
      <w:rFonts w:ascii="Times New Roman" w:hAnsi="Times New Roman" w:eastAsia="宋体" w:cs="Times New Roman"/>
    </w:rPr>
  </w:style>
  <w:style w:type="paragraph" w:styleId="4">
    <w:name w:val="Balloon Text"/>
    <w:basedOn w:val="1"/>
    <w:semiHidden/>
    <w:uiPriority w:val="0"/>
    <w:rPr>
      <w:sz w:val="18"/>
      <w:szCs w:val="18"/>
    </w:rPr>
  </w:style>
  <w:style w:type="paragraph" w:styleId="5">
    <w:name w:val="footer"/>
    <w:basedOn w:val="1"/>
    <w:link w:val="13"/>
    <w:uiPriority w:val="99"/>
    <w:pPr>
      <w:tabs>
        <w:tab w:val="center" w:pos="4153"/>
        <w:tab w:val="right" w:pos="8306"/>
      </w:tabs>
      <w:snapToGrid w:val="0"/>
      <w:jc w:val="left"/>
    </w:pPr>
    <w:rPr>
      <w:sz w:val="18"/>
      <w:szCs w:val="18"/>
    </w:rPr>
  </w:style>
  <w:style w:type="paragraph" w:styleId="6">
    <w:name w:val="Body Text First Indent 2"/>
    <w:basedOn w:val="3"/>
    <w:qFormat/>
    <w:uiPriority w:val="0"/>
    <w:pPr>
      <w:spacing w:after="0" w:line="360" w:lineRule="auto"/>
      <w:ind w:left="480" w:leftChars="0" w:firstLine="420" w:firstLineChars="200"/>
    </w:pPr>
    <w:rPr>
      <w:rFonts w:ascii="Yu Mincho Light" w:hAnsi="Tms Rmn" w:eastAsia="Yu Mincho Light"/>
      <w:kern w:val="0"/>
      <w:sz w:val="24"/>
    </w:rPr>
  </w:style>
  <w:style w:type="paragraph" w:styleId="7">
    <w:name w:val="header"/>
    <w:basedOn w:val="1"/>
    <w:link w:val="14"/>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uiPriority w:val="0"/>
    <w:rPr>
      <w:rFonts w:ascii="Times New Roman" w:hAnsi="Times New Roman" w:eastAsia="宋体" w:cs="Times New Roman"/>
    </w:rPr>
  </w:style>
  <w:style w:type="paragraph" w:customStyle="1" w:styleId="11">
    <w:name w:val="Char Char Char Char"/>
    <w:basedOn w:val="1"/>
    <w:uiPriority w:val="0"/>
    <w:rPr>
      <w:rFonts w:ascii="Tahoma" w:hAnsi="Tahoma"/>
      <w:sz w:val="24"/>
      <w:szCs w:val="20"/>
    </w:rPr>
  </w:style>
  <w:style w:type="paragraph" w:customStyle="1" w:styleId="12">
    <w:name w:val="默认段落字体 Para Char Char Char Char Char Char Char"/>
    <w:basedOn w:val="1"/>
    <w:uiPriority w:val="0"/>
    <w:rPr>
      <w:rFonts w:ascii="Tahoma" w:hAnsi="Tahoma" w:eastAsia="宋体" w:cs="Times New Roman"/>
      <w:sz w:val="24"/>
      <w:szCs w:val="20"/>
    </w:rPr>
  </w:style>
  <w:style w:type="character" w:customStyle="1" w:styleId="13">
    <w:name w:val="页脚 Char"/>
    <w:basedOn w:val="8"/>
    <w:link w:val="5"/>
    <w:uiPriority w:val="99"/>
    <w:rPr>
      <w:kern w:val="2"/>
      <w:sz w:val="18"/>
      <w:szCs w:val="18"/>
    </w:rPr>
  </w:style>
  <w:style w:type="character" w:customStyle="1" w:styleId="14">
    <w:name w:val="页眉 Char"/>
    <w:basedOn w:val="8"/>
    <w:link w:val="7"/>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minstone</Company>
  <Pages>2</Pages>
  <Words>28</Words>
  <Characters>160</Characters>
  <Lines>1</Lines>
  <Paragraphs>1</Paragraphs>
  <TotalTime>0</TotalTime>
  <ScaleCrop>false</ScaleCrop>
  <LinksUpToDate>false</LinksUpToDate>
  <CharactersWithSpaces>187</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2013-03-28T07:50:00Z</dcterms:created>
  <dc:creator>管理员</dc:creator>
  <cp:lastModifiedBy>247</cp:lastModifiedBy>
  <cp:lastPrinted>2015-11-20T03:32:00Z</cp:lastPrinted>
  <dcterms:modified xsi:type="dcterms:W3CDTF">2021-11-16T02:00:49Z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