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广东省财政厅</w:t>
      </w:r>
      <w:r>
        <w:rPr>
          <w:rFonts w:hint="eastAsia" w:ascii="方正小标宋简体" w:eastAsia="方正小标宋简体"/>
          <w:sz w:val="44"/>
          <w:szCs w:val="44"/>
          <w:lang w:val="en-US" w:eastAsia="zh-CN"/>
        </w:rPr>
        <w:t xml:space="preserve"> 广东省</w:t>
      </w:r>
      <w:r>
        <w:rPr>
          <w:rFonts w:hint="eastAsia" w:ascii="方正小标宋简体" w:eastAsia="方正小标宋简体"/>
          <w:sz w:val="44"/>
          <w:szCs w:val="44"/>
          <w:lang w:eastAsia="zh-CN"/>
        </w:rPr>
        <w:t>退役军人事务厅转发</w:t>
      </w:r>
    </w:p>
    <w:p>
      <w:pPr>
        <w:snapToGrid w:val="0"/>
        <w:spacing w:line="264" w:lineRule="auto"/>
        <w:jc w:val="center"/>
        <w:rPr>
          <w:rFonts w:hint="eastAsia" w:ascii="方正小标宋简体" w:eastAsia="方正小标宋简体"/>
          <w:sz w:val="44"/>
          <w:szCs w:val="44"/>
          <w:lang w:eastAsia="zh-CN"/>
        </w:rPr>
      </w:pPr>
      <w:r>
        <w:rPr>
          <w:rFonts w:hint="eastAsia" w:ascii="方正小标宋简体" w:eastAsia="方正小标宋简体"/>
          <w:spacing w:val="-6"/>
          <w:sz w:val="44"/>
          <w:szCs w:val="44"/>
          <w:lang w:eastAsia="zh-CN"/>
        </w:rPr>
        <w:t>财政部</w:t>
      </w:r>
      <w:r>
        <w:rPr>
          <w:rFonts w:hint="eastAsia" w:ascii="方正小标宋简体" w:eastAsia="方正小标宋简体"/>
          <w:spacing w:val="-6"/>
          <w:sz w:val="44"/>
          <w:szCs w:val="44"/>
          <w:lang w:val="en-US" w:eastAsia="zh-CN"/>
        </w:rPr>
        <w:t xml:space="preserve"> </w:t>
      </w:r>
      <w:r>
        <w:rPr>
          <w:rFonts w:hint="eastAsia" w:ascii="方正小标宋简体" w:eastAsia="方正小标宋简体"/>
          <w:spacing w:val="-6"/>
          <w:sz w:val="44"/>
          <w:szCs w:val="44"/>
          <w:lang w:eastAsia="zh-CN"/>
        </w:rPr>
        <w:t>退役军人部关于全国县级以下英雄烈士</w:t>
      </w:r>
      <w:r>
        <w:rPr>
          <w:rFonts w:hint="eastAsia" w:ascii="方正小标宋简体" w:eastAsia="方正小标宋简体"/>
          <w:sz w:val="44"/>
          <w:szCs w:val="44"/>
          <w:lang w:eastAsia="zh-CN"/>
        </w:rPr>
        <w:t>纪念设施整修工程中央财政补助资金</w:t>
      </w:r>
    </w:p>
    <w:p>
      <w:pPr>
        <w:snapToGrid w:val="0"/>
        <w:spacing w:line="264"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使用管理有关事项的通知</w:t>
      </w:r>
      <w:bookmarkEnd w:id="0"/>
    </w:p>
    <w:p>
      <w:pPr>
        <w:snapToGrid w:val="0"/>
        <w:spacing w:line="264" w:lineRule="auto"/>
        <w:jc w:val="center"/>
        <w:rPr>
          <w:rFonts w:hint="eastAsia" w:ascii="仿宋_GB2312"/>
        </w:rPr>
      </w:pPr>
      <w:bookmarkStart w:id="1" w:name="文号的完整"/>
      <w:r>
        <w:rPr>
          <w:rFonts w:hint="eastAsia" w:ascii="仿宋_GB2312" w:hAnsi="宋体" w:cs="宋体"/>
          <w:color w:val="000000"/>
          <w:w w:val="90"/>
          <w:szCs w:val="32"/>
          <w:lang w:eastAsia="zh-CN"/>
        </w:rPr>
        <w:t>粤财社〔2021〕221号</w:t>
      </w:r>
      <w:bookmarkEnd w:id="1"/>
    </w:p>
    <w:p>
      <w:pPr>
        <w:snapToGrid w:val="0"/>
        <w:spacing w:line="360" w:lineRule="auto"/>
        <w:contextualSpacing/>
        <w:rPr>
          <w:rFonts w:hint="eastAsia" w:ascii="仿宋_GB2312"/>
          <w:szCs w:val="32"/>
          <w:lang w:eastAsia="zh-CN"/>
        </w:rPr>
      </w:pPr>
      <w:bookmarkStart w:id="2" w:name="主送"/>
    </w:p>
    <w:p>
      <w:pPr>
        <w:snapToGrid w:val="0"/>
        <w:spacing w:line="360" w:lineRule="auto"/>
        <w:contextualSpacing/>
        <w:rPr>
          <w:rFonts w:hint="eastAsia" w:ascii="仿宋_GB2312"/>
          <w:szCs w:val="32"/>
        </w:rPr>
      </w:pPr>
      <w:r>
        <w:rPr>
          <w:rFonts w:hint="eastAsia" w:ascii="仿宋_GB2312"/>
          <w:szCs w:val="32"/>
          <w:lang w:eastAsia="zh-CN"/>
        </w:rPr>
        <w:t>各地级以上市财政局、退役军人事务局，各县（市、区）财政局、退役军人事务局</w:t>
      </w:r>
      <w:bookmarkEnd w:id="2"/>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bookmarkStart w:id="3" w:name="Content"/>
      <w:bookmarkEnd w:id="3"/>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eastAsia="zh-CN"/>
        </w:rPr>
        <w:t>财政部</w:t>
      </w:r>
      <w:r>
        <w:rPr>
          <w:rFonts w:hint="eastAsia" w:ascii="仿宋_GB2312" w:hAnsi="仿宋_GB2312" w:eastAsia="仿宋_GB2312" w:cs="仿宋_GB2312"/>
          <w:color w:val="auto"/>
          <w:sz w:val="32"/>
          <w:szCs w:val="32"/>
          <w:lang w:val="en-US" w:eastAsia="zh-CN"/>
        </w:rPr>
        <w:t xml:space="preserve"> 退役军人部关于全国县级以下英雄烈士纪念设施整修工程中央财政补助资金使用管理有关事项的通知</w:t>
      </w:r>
      <w:r>
        <w:rPr>
          <w:rFonts w:hint="eastAsia" w:ascii="仿宋_GB2312" w:hAnsi="仿宋_GB2312" w:eastAsia="仿宋_GB2312" w:cs="仿宋_GB2312"/>
          <w:color w:val="auto"/>
          <w:sz w:val="32"/>
          <w:szCs w:val="32"/>
        </w:rPr>
        <w:t>》（财</w:t>
      </w:r>
      <w:r>
        <w:rPr>
          <w:rFonts w:hint="eastAsia" w:ascii="仿宋_GB2312" w:hAnsi="仿宋_GB2312" w:eastAsia="仿宋_GB2312" w:cs="仿宋_GB2312"/>
          <w:color w:val="auto"/>
          <w:sz w:val="32"/>
          <w:szCs w:val="32"/>
          <w:lang w:eastAsia="zh-CN"/>
        </w:rPr>
        <w:t>社</w:t>
      </w:r>
      <w:r>
        <w:rPr>
          <w:rFonts w:hint="eastAsia"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号）转发给你们，</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结合我省实际提出以下</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要求，请一并贯彻落实</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负担原则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为切实解决部分县级以下（含县级，下同）英雄烈士纪念设施保护管理存在的问题，全面提升英雄烈士纪念设施保护管理水平，</w:t>
      </w:r>
      <w:r>
        <w:rPr>
          <w:rFonts w:hint="eastAsia" w:ascii="仿宋_GB2312" w:hAnsi="仿宋_GB2312" w:eastAsia="仿宋_GB2312" w:cs="仿宋_GB2312"/>
          <w:color w:val="auto"/>
          <w:sz w:val="32"/>
          <w:szCs w:val="32"/>
          <w:lang w:val="en-US" w:eastAsia="zh-CN"/>
        </w:rPr>
        <w:t>中央和省财政已一次性安排补助资金支持各地整修县级以下英雄烈士纪念设施并</w:t>
      </w:r>
      <w:r>
        <w:rPr>
          <w:rStyle w:val="8"/>
          <w:rFonts w:hint="eastAsia" w:ascii="仿宋_GB2312" w:hAnsi="仿宋_GB2312" w:eastAsia="仿宋_GB2312" w:cs="仿宋_GB2312"/>
          <w:b w:val="0"/>
          <w:i w:val="0"/>
          <w:caps w:val="0"/>
          <w:color w:val="000000"/>
          <w:spacing w:val="0"/>
          <w:w w:val="100"/>
          <w:kern w:val="0"/>
          <w:sz w:val="32"/>
          <w:szCs w:val="32"/>
          <w:lang w:val="en-US" w:eastAsia="zh-CN" w:bidi="ar-SA"/>
        </w:rPr>
        <w:t>列入直达资金管理</w:t>
      </w:r>
      <w:r>
        <w:rPr>
          <w:rFonts w:hint="eastAsia" w:ascii="仿宋_GB2312" w:hAnsi="仿宋_GB2312" w:eastAsia="仿宋_GB2312" w:cs="仿宋_GB2312"/>
          <w:color w:val="auto"/>
          <w:sz w:val="32"/>
          <w:szCs w:val="32"/>
          <w:lang w:val="en-US" w:eastAsia="zh-CN"/>
        </w:rPr>
        <w:t>。各级政府应落实主体责任，结合中央和省财政资金，合理安排资金做好县级以下烈士纪念设施整修资金，确保完成整修工程任务。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baseline"/>
        <w:rPr>
          <w:rStyle w:val="8"/>
          <w:rFonts w:ascii="黑体" w:hAnsi="黑体" w:eastAsia="黑体"/>
          <w:b w:val="0"/>
          <w:i w:val="0"/>
          <w:caps w:val="0"/>
          <w:color w:val="000000"/>
          <w:spacing w:val="0"/>
          <w:w w:val="100"/>
          <w:kern w:val="0"/>
          <w:sz w:val="32"/>
          <w:szCs w:val="32"/>
          <w:lang w:val="en-US" w:eastAsia="zh-CN" w:bidi="ar-SA"/>
        </w:rPr>
      </w:pPr>
      <w:r>
        <w:rPr>
          <w:rStyle w:val="8"/>
          <w:rFonts w:hint="eastAsia" w:ascii="黑体" w:hAnsi="黑体" w:eastAsia="黑体"/>
          <w:b w:val="0"/>
          <w:i w:val="0"/>
          <w:caps w:val="0"/>
          <w:color w:val="000000"/>
          <w:spacing w:val="0"/>
          <w:w w:val="100"/>
          <w:kern w:val="0"/>
          <w:sz w:val="32"/>
          <w:szCs w:val="32"/>
          <w:lang w:val="en-US" w:eastAsia="zh-CN" w:bidi="ar-SA"/>
        </w:rPr>
        <w:t>二、资金安排</w:t>
      </w:r>
      <w:r>
        <w:rPr>
          <w:rStyle w:val="8"/>
          <w:rFonts w:ascii="黑体" w:hAnsi="黑体" w:eastAsia="黑体"/>
          <w:b w:val="0"/>
          <w:i w:val="0"/>
          <w:caps w:val="0"/>
          <w:color w:val="000000"/>
          <w:spacing w:val="0"/>
          <w:w w:val="100"/>
          <w:kern w:val="0"/>
          <w:sz w:val="32"/>
          <w:szCs w:val="32"/>
          <w:lang w:val="en-US" w:eastAsia="zh-CN" w:bidi="ar-SA"/>
        </w:rPr>
        <w:t>重点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640" w:firstLineChars="200"/>
        <w:jc w:val="both"/>
        <w:textAlignment w:val="baseline"/>
        <w:rPr>
          <w:rStyle w:val="8"/>
          <w:rFonts w:ascii="Times New Roman" w:hAnsi="Times New Roman" w:eastAsia="仿宋_GB2312"/>
          <w:b w:val="0"/>
          <w:i w:val="0"/>
          <w:caps w:val="0"/>
          <w:color w:val="000000"/>
          <w:spacing w:val="0"/>
          <w:w w:val="100"/>
          <w:kern w:val="0"/>
          <w:sz w:val="32"/>
          <w:szCs w:val="32"/>
          <w:lang w:val="en-US" w:eastAsia="zh-CN" w:bidi="ar-SA"/>
        </w:rPr>
      </w:pPr>
      <w:r>
        <w:rPr>
          <w:rStyle w:val="8"/>
          <w:rFonts w:hint="eastAsia" w:ascii="Times New Roman" w:hAnsi="Times New Roman" w:eastAsia="仿宋_GB2312"/>
          <w:b w:val="0"/>
          <w:i w:val="0"/>
          <w:caps w:val="0"/>
          <w:color w:val="000000"/>
          <w:spacing w:val="0"/>
          <w:w w:val="100"/>
          <w:kern w:val="0"/>
          <w:sz w:val="32"/>
          <w:szCs w:val="32"/>
          <w:lang w:val="en-US" w:eastAsia="zh-CN" w:bidi="ar-SA"/>
        </w:rPr>
        <w:t>本次资金</w:t>
      </w:r>
      <w:r>
        <w:rPr>
          <w:rStyle w:val="8"/>
          <w:rFonts w:ascii="Times New Roman" w:hAnsi="Times New Roman" w:eastAsia="仿宋_GB2312"/>
          <w:b w:val="0"/>
          <w:i w:val="0"/>
          <w:caps w:val="0"/>
          <w:color w:val="000000"/>
          <w:spacing w:val="0"/>
          <w:w w:val="100"/>
          <w:kern w:val="0"/>
          <w:sz w:val="32"/>
          <w:szCs w:val="32"/>
          <w:lang w:val="en-US" w:eastAsia="zh-CN" w:bidi="ar-SA"/>
        </w:rPr>
        <w:t>突出使用重点，</w:t>
      </w:r>
      <w:r>
        <w:rPr>
          <w:rStyle w:val="8"/>
          <w:rFonts w:hint="eastAsia" w:ascii="Times New Roman" w:hAnsi="Times New Roman" w:eastAsia="仿宋_GB2312"/>
          <w:b w:val="0"/>
          <w:i w:val="0"/>
          <w:caps w:val="0"/>
          <w:color w:val="000000"/>
          <w:spacing w:val="0"/>
          <w:w w:val="100"/>
          <w:kern w:val="0"/>
          <w:sz w:val="32"/>
          <w:szCs w:val="32"/>
          <w:lang w:val="en-US" w:eastAsia="zh-CN" w:bidi="ar-SA"/>
        </w:rPr>
        <w:t>对</w:t>
      </w:r>
      <w:r>
        <w:rPr>
          <w:rStyle w:val="8"/>
          <w:rFonts w:ascii="Times New Roman" w:hAnsi="Times New Roman" w:eastAsia="仿宋_GB2312"/>
          <w:b w:val="0"/>
          <w:i w:val="0"/>
          <w:caps w:val="0"/>
          <w:color w:val="000000"/>
          <w:spacing w:val="0"/>
          <w:w w:val="100"/>
          <w:kern w:val="0"/>
          <w:sz w:val="32"/>
          <w:szCs w:val="32"/>
          <w:lang w:val="en-US" w:eastAsia="zh-CN" w:bidi="ar-SA"/>
        </w:rPr>
        <w:t>零散烈</w:t>
      </w:r>
      <w:r>
        <w:rPr>
          <w:rStyle w:val="8"/>
          <w:rFonts w:hint="eastAsia" w:ascii="仿宋_GB2312" w:hAnsi="仿宋_GB2312" w:eastAsia="仿宋_GB2312" w:cs="仿宋_GB2312"/>
          <w:b w:val="0"/>
          <w:i w:val="0"/>
          <w:caps w:val="0"/>
          <w:color w:val="000000"/>
          <w:spacing w:val="0"/>
          <w:w w:val="100"/>
          <w:kern w:val="0"/>
          <w:sz w:val="32"/>
          <w:szCs w:val="32"/>
          <w:lang w:val="en-US" w:eastAsia="zh-CN" w:bidi="ar-SA"/>
        </w:rPr>
        <w:t>士墓项目按“应迁尽迁、集中管护”给予重点保障，已签订迁移协议的要100%按时保质落实。上报烈士纪念碑特别是烈士陵园整修项目的，要结合实际，以镇级以上行政区域为单位选择便于烈士亲属祭扫纪念的纪念碑或陵园，在其保护范围内预留或建设烈士安葬区，为实施迁移集中保护等工作夯实硬件基础。有条件的可在安葬区提前为安葬在辖区内散葬烈士墓的烈士建好墓穴，逐一动员管护人将散葬烈士墓迁入安葬区。此次整修工程结束，零散烈士墓迁移集中保护率应达到国家要求的目标，并逐步推动实现散葬烈士墓100%迁</w:t>
      </w:r>
      <w:r>
        <w:rPr>
          <w:rStyle w:val="8"/>
          <w:rFonts w:ascii="Times New Roman" w:hAnsi="Times New Roman" w:eastAsia="仿宋_GB2312"/>
          <w:b w:val="0"/>
          <w:i w:val="0"/>
          <w:caps w:val="0"/>
          <w:color w:val="000000"/>
          <w:spacing w:val="0"/>
          <w:w w:val="100"/>
          <w:kern w:val="0"/>
          <w:sz w:val="32"/>
          <w:szCs w:val="32"/>
          <w:lang w:val="en-US" w:eastAsia="zh-CN" w:bidi="ar-SA"/>
        </w:rPr>
        <w:t>入陵园或集中安葬区集中保护。</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left="640" w:leftChars="0" w:firstLine="0" w:firstLineChars="0"/>
        <w:jc w:val="both"/>
        <w:textAlignment w:val="baseline"/>
        <w:rPr>
          <w:rStyle w:val="8"/>
          <w:rFonts w:hint="eastAsia" w:ascii="黑体" w:hAnsi="黑体" w:eastAsia="黑体"/>
          <w:b w:val="0"/>
          <w:i w:val="0"/>
          <w:caps w:val="0"/>
          <w:color w:val="000000"/>
          <w:spacing w:val="0"/>
          <w:w w:val="100"/>
          <w:kern w:val="0"/>
          <w:sz w:val="32"/>
          <w:szCs w:val="32"/>
          <w:lang w:val="en-US" w:eastAsia="zh-CN" w:bidi="ar-SA"/>
        </w:rPr>
      </w:pPr>
      <w:r>
        <w:rPr>
          <w:rStyle w:val="8"/>
          <w:rFonts w:hint="eastAsia" w:ascii="黑体" w:hAnsi="黑体" w:eastAsia="黑体"/>
          <w:b w:val="0"/>
          <w:i w:val="0"/>
          <w:caps w:val="0"/>
          <w:color w:val="000000"/>
          <w:spacing w:val="0"/>
          <w:w w:val="100"/>
          <w:kern w:val="0"/>
          <w:sz w:val="32"/>
          <w:szCs w:val="32"/>
          <w:lang w:val="en-US" w:eastAsia="zh-CN" w:bidi="ar-SA"/>
        </w:rPr>
        <w:t>三、保障措施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643" w:firstLineChars="200"/>
        <w:jc w:val="both"/>
        <w:textAlignment w:val="baseline"/>
        <w:rPr>
          <w:rStyle w:val="8"/>
          <w:rFonts w:ascii="仿宋_GB2312" w:hAnsi="仿宋_GB2312" w:eastAsia="仿宋_GB2312"/>
          <w:b w:val="0"/>
          <w:bCs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color w:val="000000"/>
          <w:spacing w:val="0"/>
          <w:w w:val="100"/>
          <w:kern w:val="0"/>
          <w:sz w:val="32"/>
          <w:szCs w:val="32"/>
          <w:lang w:val="en-US" w:eastAsia="zh-CN" w:bidi="ar-SA"/>
        </w:rPr>
        <w:t>（一）加强组织领导。</w:t>
      </w:r>
      <w:r>
        <w:rPr>
          <w:rStyle w:val="8"/>
          <w:rFonts w:hint="eastAsia" w:ascii="仿宋_GB2312" w:hAnsi="仿宋_GB2312" w:eastAsia="仿宋_GB2312" w:cs="仿宋_GB2312"/>
          <w:b w:val="0"/>
          <w:bCs w:val="0"/>
          <w:i w:val="0"/>
          <w:caps w:val="0"/>
          <w:color w:val="000000"/>
          <w:spacing w:val="0"/>
          <w:w w:val="100"/>
          <w:kern w:val="0"/>
          <w:sz w:val="32"/>
          <w:szCs w:val="32"/>
          <w:lang w:val="en-US" w:eastAsia="zh-CN" w:bidi="ar-SA"/>
        </w:rPr>
        <w:t>要提高政治站位，把实施整修工程作为重要政治任务抓细抓实，最大程度发挥整修工程的正向社会效益。</w:t>
      </w:r>
      <w:r>
        <w:rPr>
          <w:rStyle w:val="8"/>
          <w:rFonts w:ascii="Times New Roman" w:hAnsi="Times New Roman" w:eastAsia="仿宋_GB2312"/>
          <w:b w:val="0"/>
          <w:i w:val="0"/>
          <w:caps w:val="0"/>
          <w:color w:val="000000"/>
          <w:spacing w:val="0"/>
          <w:w w:val="100"/>
          <w:kern w:val="0"/>
          <w:sz w:val="32"/>
          <w:szCs w:val="32"/>
          <w:lang w:val="en-US" w:eastAsia="zh-CN" w:bidi="ar-SA"/>
        </w:rPr>
        <w:t>各地级以上市退役军人</w:t>
      </w:r>
      <w:r>
        <w:rPr>
          <w:rStyle w:val="8"/>
          <w:rFonts w:hint="eastAsia" w:ascii="仿宋_GB2312" w:hAnsi="仿宋_GB2312" w:eastAsia="仿宋_GB2312" w:cs="仿宋_GB2312"/>
          <w:b w:val="0"/>
          <w:i w:val="0"/>
          <w:caps w:val="0"/>
          <w:color w:val="000000"/>
          <w:spacing w:val="0"/>
          <w:w w:val="100"/>
          <w:kern w:val="0"/>
          <w:sz w:val="32"/>
          <w:szCs w:val="32"/>
          <w:lang w:val="en-US" w:eastAsia="zh-CN" w:bidi="ar-SA"/>
        </w:rPr>
        <w:t>事务局要加强对所属县（市、区）的督查指导，落实好领导责任。各县（市、区）要切实担起属地责任，及时制定整修工程方案，逐级压实“零散烈士墓迁移集中保护率≥80%”目标要求的责任，</w:t>
      </w:r>
      <w:r>
        <w:rPr>
          <w:rStyle w:val="8"/>
          <w:rFonts w:hint="eastAsia" w:ascii="仿宋_GB2312" w:hAnsi="仿宋_GB2312" w:eastAsia="仿宋_GB2312" w:cs="仿宋_GB2312"/>
          <w:b w:val="0"/>
          <w:bCs w:val="0"/>
          <w:i w:val="0"/>
          <w:caps w:val="0"/>
          <w:spacing w:val="0"/>
          <w:w w:val="100"/>
          <w:kern w:val="2"/>
          <w:sz w:val="32"/>
          <w:szCs w:val="32"/>
          <w:lang w:val="en-US" w:eastAsia="zh-CN" w:bidi="ar-SA"/>
        </w:rPr>
        <w:t>及时组织召开辖区所属相关项目推进会，明确目标任务，周密计划、倒排</w:t>
      </w:r>
      <w:r>
        <w:rPr>
          <w:rStyle w:val="8"/>
          <w:rFonts w:ascii="仿宋_GB2312" w:hAnsi="仿宋_GB2312" w:eastAsia="仿宋_GB2312"/>
          <w:b w:val="0"/>
          <w:bCs w:val="0"/>
          <w:i w:val="0"/>
          <w:caps w:val="0"/>
          <w:spacing w:val="0"/>
          <w:w w:val="100"/>
          <w:kern w:val="2"/>
          <w:sz w:val="32"/>
          <w:szCs w:val="32"/>
          <w:lang w:val="en-US" w:eastAsia="zh-CN" w:bidi="ar-SA"/>
        </w:rPr>
        <w:t>工期，保障中央和省财政补助项目顺利开展，确保年内完成任务。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Style w:val="8"/>
          <w:rFonts w:ascii="仿宋_GB2312" w:hAnsi="仿宋_GB2312" w:eastAsia="仿宋_GB2312"/>
          <w:b w:val="0"/>
          <w:bCs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color w:val="000000"/>
          <w:spacing w:val="0"/>
          <w:w w:val="100"/>
          <w:kern w:val="0"/>
          <w:sz w:val="32"/>
          <w:szCs w:val="32"/>
          <w:lang w:val="en-US" w:eastAsia="zh-CN" w:bidi="ar-SA"/>
        </w:rPr>
        <w:t>（二）加强绩效和监督管理。</w:t>
      </w:r>
      <w:r>
        <w:rPr>
          <w:rFonts w:hint="eastAsia" w:ascii="仿宋" w:hAnsi="仿宋" w:eastAsia="仿宋" w:cs="仿宋"/>
          <w:b w:val="0"/>
          <w:bCs w:val="0"/>
          <w:sz w:val="32"/>
          <w:szCs w:val="32"/>
          <w:lang w:val="en-US" w:eastAsia="zh-CN"/>
        </w:rPr>
        <w:t>各级财政、退役军人事务部门应加强补助资金的使用管理，积极配合有关部门做好监督、审计、稽查工作，对存在违反本通知规定</w:t>
      </w:r>
      <w:r>
        <w:rPr>
          <w:rFonts w:hint="eastAsia" w:ascii="仿宋_GB2312" w:hAnsi="仿宋_GB2312" w:eastAsia="仿宋_GB2312" w:cs="仿宋_GB2312"/>
          <w:b w:val="0"/>
          <w:bCs w:val="0"/>
          <w:sz w:val="32"/>
          <w:szCs w:val="32"/>
          <w:lang w:val="en-US" w:eastAsia="zh-CN"/>
        </w:rPr>
        <w:t>，以</w:t>
      </w:r>
      <w:r>
        <w:rPr>
          <w:rFonts w:hint="eastAsia" w:ascii="仿宋" w:hAnsi="仿宋" w:eastAsia="仿宋" w:cs="仿宋"/>
          <w:b w:val="0"/>
          <w:bCs w:val="0"/>
          <w:sz w:val="32"/>
          <w:szCs w:val="32"/>
          <w:lang w:val="en-US" w:eastAsia="zh-CN"/>
        </w:rPr>
        <w:t>及其他滥用职权、玩忽职守、徇私舞弊等违法违纪行为的，将依法追究相应责任。</w:t>
      </w:r>
      <w:r>
        <w:rPr>
          <w:rStyle w:val="8"/>
          <w:rFonts w:hint="eastAsia" w:ascii="仿宋_GB2312" w:hAnsi="仿宋_GB2312" w:eastAsia="仿宋_GB2312"/>
          <w:b w:val="0"/>
          <w:bCs w:val="0"/>
          <w:i w:val="0"/>
          <w:caps w:val="0"/>
          <w:spacing w:val="0"/>
          <w:w w:val="100"/>
          <w:kern w:val="2"/>
          <w:sz w:val="32"/>
          <w:szCs w:val="32"/>
          <w:lang w:val="en-US" w:eastAsia="zh-CN" w:bidi="ar-SA"/>
        </w:rPr>
        <w:t>省退役军人事务厅、省财政厅将适时对各地中央和省财政补助资金使用情况进行绩效评价，</w:t>
      </w:r>
      <w:r>
        <w:rPr>
          <w:rStyle w:val="8"/>
          <w:rFonts w:ascii="仿宋_GB2312" w:hAnsi="仿宋_GB2312" w:eastAsia="仿宋_GB2312"/>
          <w:b w:val="0"/>
          <w:bCs w:val="0"/>
          <w:i w:val="0"/>
          <w:caps w:val="0"/>
          <w:spacing w:val="0"/>
          <w:w w:val="100"/>
          <w:kern w:val="2"/>
          <w:sz w:val="32"/>
          <w:szCs w:val="32"/>
          <w:lang w:val="en-US" w:eastAsia="zh-CN" w:bidi="ar-SA"/>
        </w:rPr>
        <w:t>对项目实施进度慢的予以通报，整修工程效果纳入当地平安建设（综治考核）、“双拥模范城”考评。</w:t>
      </w:r>
    </w:p>
    <w:p>
      <w:pPr>
        <w:snapToGrid w:val="0"/>
        <w:spacing w:line="360" w:lineRule="auto"/>
        <w:contextualSpacing/>
        <w:rPr>
          <w:rFonts w:hint="eastAsia" w:ascii="仿宋_GB2312" w:eastAsia="仿宋_GB2312"/>
          <w:sz w:val="32"/>
          <w:szCs w:val="32"/>
        </w:rPr>
      </w:pPr>
    </w:p>
    <w:p>
      <w:pPr>
        <w:tabs>
          <w:tab w:val="left" w:pos="5250"/>
        </w:tabs>
        <w:adjustRightInd w:val="0"/>
        <w:snapToGrid w:val="0"/>
        <w:spacing w:line="360" w:lineRule="auto"/>
        <w:rPr>
          <w:rFonts w:hint="eastAsia" w:ascii="仿宋_GB2312"/>
          <w:szCs w:val="32"/>
        </w:rPr>
      </w:pPr>
    </w:p>
    <w:p>
      <w:pPr>
        <w:tabs>
          <w:tab w:val="left" w:pos="5250"/>
        </w:tabs>
        <w:adjustRightInd w:val="0"/>
        <w:snapToGrid w:val="0"/>
        <w:spacing w:line="360" w:lineRule="auto"/>
        <w:rPr>
          <w:rFonts w:hint="eastAsia" w:ascii="仿宋_GB2312"/>
          <w:szCs w:val="32"/>
        </w:rPr>
      </w:pPr>
    </w:p>
    <w:p>
      <w:pPr>
        <w:snapToGrid w:val="0"/>
        <w:spacing w:line="360" w:lineRule="auto"/>
        <w:ind w:firstLine="1920" w:firstLineChars="600"/>
        <w:rPr>
          <w:rFonts w:hint="eastAsia" w:ascii="仿宋_GB2312"/>
        </w:rPr>
      </w:pPr>
      <w:r>
        <w:rPr>
          <w:rFonts w:hint="eastAsia" w:ascii="仿宋_GB2312"/>
        </w:rPr>
        <w:t>广东省财政厅</w:t>
      </w:r>
      <w:r>
        <w:rPr>
          <w:rFonts w:hint="eastAsia" w:ascii="仿宋_GB2312"/>
          <w:lang w:val="en-US" w:eastAsia="zh-CN"/>
        </w:rPr>
        <w:t xml:space="preserve">        </w:t>
      </w:r>
      <w:r>
        <w:rPr>
          <w:rFonts w:hint="eastAsia" w:ascii="仿宋_GB2312"/>
          <w:lang w:eastAsia="zh-CN"/>
        </w:rPr>
        <w:t>广东省退役军人事务厅</w:t>
      </w:r>
    </w:p>
    <w:p>
      <w:pPr>
        <w:tabs>
          <w:tab w:val="left" w:pos="7560"/>
          <w:tab w:val="left" w:pos="7740"/>
        </w:tabs>
        <w:snapToGrid w:val="0"/>
        <w:spacing w:line="360" w:lineRule="auto"/>
        <w:ind w:right="640"/>
      </w:pPr>
      <w:r>
        <w:rPr>
          <w:rFonts w:hint="eastAsia" w:ascii="仿宋_GB2312"/>
        </w:rPr>
        <w:t xml:space="preserve">                                  20</w:t>
      </w:r>
      <w:r>
        <w:rPr>
          <w:rFonts w:hint="eastAsia" w:ascii="仿宋_GB2312"/>
          <w:lang w:val="en-US" w:eastAsia="zh-CN"/>
        </w:rPr>
        <w:t>21</w:t>
      </w:r>
      <w:r>
        <w:rPr>
          <w:rFonts w:hint="eastAsia" w:ascii="仿宋_GB2312"/>
        </w:rPr>
        <w:t>年</w:t>
      </w:r>
      <w:r>
        <w:rPr>
          <w:rFonts w:hint="eastAsia" w:ascii="仿宋_GB2312"/>
          <w:lang w:val="en-US" w:eastAsia="zh-CN"/>
        </w:rPr>
        <w:t>1</w:t>
      </w:r>
      <w:bookmarkStart w:id="4" w:name="_GoBack"/>
      <w:bookmarkEnd w:id="4"/>
      <w:r>
        <w:rPr>
          <w:rFonts w:hint="eastAsia" w:ascii="仿宋_GB2312"/>
          <w:lang w:val="en-US" w:eastAsia="zh-CN"/>
        </w:rPr>
        <w:t>1</w:t>
      </w:r>
      <w:r>
        <w:rPr>
          <w:rFonts w:hint="eastAsia" w:ascii="仿宋_GB2312"/>
        </w:rPr>
        <w:t>月</w:t>
      </w:r>
      <w:r>
        <w:rPr>
          <w:rFonts w:hint="eastAsia" w:ascii="仿宋_GB2312"/>
          <w:lang w:val="en-US" w:eastAsia="zh-CN"/>
        </w:rPr>
        <w:t>29</w:t>
      </w:r>
      <w:r>
        <w:rPr>
          <w:rFonts w:hint="eastAsia" w:ascii="仿宋_GB231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2FE19"/>
    <w:multiLevelType w:val="singleLevel"/>
    <w:tmpl w:val="E2A2FE19"/>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361DF"/>
    <w:rsid w:val="4E83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widowControl w:val="0"/>
      <w:spacing w:line="240" w:lineRule="auto"/>
      <w:ind w:firstLine="0"/>
      <w:jc w:val="center"/>
    </w:pPr>
    <w:rPr>
      <w:rFonts w:ascii="仿宋_GB2312" w:hAnsi="仿宋_GB2312" w:eastAsia="宋体" w:cs="Calibri"/>
      <w:b/>
      <w:bCs/>
      <w:kern w:val="2"/>
      <w:sz w:val="44"/>
      <w:szCs w:val="44"/>
      <w:lang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NormalCharacter"/>
    <w:semiHidden/>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2021-12-02T09:31:00Z</dcterms:created>
  <dc:creator>247</dc:creator>
  <cp:lastModifiedBy>247</cp:lastModifiedBy>
  <dcterms:modified xsi:type="dcterms:W3CDTF">2021-12-02T09:34:05Z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