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66784346"/>
      <w:r>
        <w:rPr>
          <w:rFonts w:hint="default" w:ascii="Times New Roman" w:hAnsi="Times New Roman" w:eastAsia="方正小标宋简体" w:cs="Times New Roman"/>
          <w:sz w:val="44"/>
          <w:szCs w:val="44"/>
        </w:rPr>
        <w:t>医疗救助补助资金绩效目标表</w:t>
      </w:r>
    </w:p>
    <w:bookmarkEnd w:id="0"/>
    <w:p>
      <w:pPr>
        <w:spacing w:line="460" w:lineRule="exact"/>
        <w:jc w:val="center"/>
      </w:pPr>
      <w:r>
        <w:rPr>
          <w:rFonts w:hint="default" w:ascii="Times New Roman" w:hAnsi="Times New Roman" w:eastAsia="方正小标宋简体" w:cs="Times New Roman"/>
          <w:sz w:val="24"/>
        </w:rPr>
        <w:t>（202</w:t>
      </w:r>
      <w:r>
        <w:rPr>
          <w:rFonts w:hint="eastAsia" w:ascii="Times New Roman" w:hAnsi="Times New Roman" w:eastAsia="方正小标宋简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24"/>
        </w:rPr>
        <w:t>年度）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88"/>
        <w:gridCol w:w="1174"/>
        <w:gridCol w:w="3767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2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30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医疗救助补助资金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28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307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28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307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28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07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1385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307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307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307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4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4457" w:type="pct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目标1：资助医疗救助对象参加基本医疗保险率达到100%；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：持续实施重特大疾病医疗救助；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：强化医疗救助规范管理。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资助参保比例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住院救助人次数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80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门诊救助人次数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200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门诊医疗费用救助比例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住院医疗费用救助比例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 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即时结算覆盖地区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市域内覆盖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补助资金及时拨付率（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1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医疗救助对象看病就医方便程度</w:t>
            </w:r>
          </w:p>
        </w:tc>
        <w:tc>
          <w:tcPr>
            <w:tcW w:w="86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对健全医疗保障制度体系的作用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</w:tc>
        <w:tc>
          <w:tcPr>
            <w:tcW w:w="6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1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政策知晓度</w:t>
            </w:r>
          </w:p>
        </w:tc>
        <w:tc>
          <w:tcPr>
            <w:tcW w:w="86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救助对象满意度</w:t>
            </w:r>
          </w:p>
        </w:tc>
        <w:tc>
          <w:tcPr>
            <w:tcW w:w="8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2E68"/>
    <w:rsid w:val="00193AFE"/>
    <w:rsid w:val="01B07458"/>
    <w:rsid w:val="029A00BF"/>
    <w:rsid w:val="04B03761"/>
    <w:rsid w:val="06671194"/>
    <w:rsid w:val="073737F4"/>
    <w:rsid w:val="0A086F50"/>
    <w:rsid w:val="0EAA42FC"/>
    <w:rsid w:val="111A2C0C"/>
    <w:rsid w:val="1D326506"/>
    <w:rsid w:val="214E727F"/>
    <w:rsid w:val="27DB4041"/>
    <w:rsid w:val="28DD4003"/>
    <w:rsid w:val="28FC2AB6"/>
    <w:rsid w:val="2B276D3C"/>
    <w:rsid w:val="33F11A9C"/>
    <w:rsid w:val="39F02E68"/>
    <w:rsid w:val="42394429"/>
    <w:rsid w:val="443D2111"/>
    <w:rsid w:val="45BA023E"/>
    <w:rsid w:val="49AC4553"/>
    <w:rsid w:val="49B43966"/>
    <w:rsid w:val="4D644074"/>
    <w:rsid w:val="5B260219"/>
    <w:rsid w:val="5BF60C05"/>
    <w:rsid w:val="5E050085"/>
    <w:rsid w:val="5F322523"/>
    <w:rsid w:val="5F8D3704"/>
    <w:rsid w:val="62C65C89"/>
    <w:rsid w:val="649C6C2A"/>
    <w:rsid w:val="64B903C5"/>
    <w:rsid w:val="69BA76D1"/>
    <w:rsid w:val="6E911213"/>
    <w:rsid w:val="713F171C"/>
    <w:rsid w:val="75197F85"/>
    <w:rsid w:val="79643AB2"/>
    <w:rsid w:val="79CB16E8"/>
    <w:rsid w:val="7AEC7269"/>
    <w:rsid w:val="7F8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2021-11-23T11:08:00Z</dcterms:created>
  <dc:creator>朱晓玲</dc:creator>
  <cp:lastModifiedBy>朱胜亚</cp:lastModifiedBy>
  <dcterms:modified xsi:type="dcterms:W3CDTF">2022-12-22T15:44:56Z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E822A2185C304B6084377CB2B924458F</vt:lpwstr>
  </property>
  <property fmtid="{D5CDD505-2E9C-101B-9397-08002B2CF9AE}" pid="4" name="ribbonExt">
    <vt:lpwstr>{"WPSExtOfficeTab":{"OnGetEnabled":false,"OnGetVisible":false}}</vt:lpwstr>
  </property>
</Properties>
</file>