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0463"/>
      <w:bookmarkStart w:id="1" w:name="_Toc369"/>
    </w:p>
    <w:p>
      <w:pPr>
        <w:pStyle w:val="3"/>
        <w:bidi w:val="0"/>
        <w:rPr>
          <w:rFonts w:hint="eastAsia"/>
          <w:u w:val="none" w:color="auto"/>
        </w:rPr>
      </w:pPr>
      <w:r>
        <w:rPr>
          <w:rFonts w:hint="eastAsia"/>
          <w:u w:val="none" w:color="auto"/>
        </w:rPr>
        <w:t>广东省民族地区转移支付资金管理办法</w:t>
      </w:r>
      <w:bookmarkEnd w:id="0"/>
    </w:p>
    <w:p>
      <w:pPr>
        <w:pStyle w:val="3"/>
        <w:bidi w:val="0"/>
        <w:snapToGrid/>
        <w:spacing w:line="360" w:lineRule="auto"/>
        <w:jc w:val="center"/>
        <w:rPr>
          <w:rFonts w:hint="eastAsia"/>
          <w:sz w:val="32"/>
          <w:szCs w:val="32"/>
          <w:u w:val="none" w:color="auto"/>
          <w:lang w:eastAsia="zh-CN"/>
        </w:rPr>
      </w:pPr>
      <w:r>
        <w:rPr>
          <w:rFonts w:hint="eastAsia"/>
          <w:sz w:val="32"/>
          <w:szCs w:val="32"/>
          <w:u w:val="none" w:color="auto"/>
          <w:lang w:eastAsia="zh-CN"/>
        </w:rPr>
        <w:t>（</w:t>
      </w:r>
      <w:r>
        <w:rPr>
          <w:rFonts w:hint="eastAsia" w:ascii="仿宋_GB2312" w:hAnsi="仿宋_GB2312" w:eastAsia="仿宋_GB2312" w:cs="仿宋_GB2312"/>
          <w:sz w:val="32"/>
          <w:szCs w:val="32"/>
          <w:u w:val="none" w:color="auto"/>
          <w:lang w:val="en-US" w:eastAsia="zh-CN"/>
        </w:rPr>
        <w:t>2023年</w:t>
      </w:r>
      <w:r>
        <w:rPr>
          <w:rFonts w:hint="eastAsia" w:hAnsi="楷体_GB2312" w:eastAsia="楷体_GB2312"/>
          <w:sz w:val="32"/>
          <w:szCs w:val="32"/>
          <w:u w:val="none" w:color="auto"/>
          <w:lang w:val="en-US" w:eastAsia="zh-CN"/>
        </w:rPr>
        <w:t>修订</w:t>
      </w:r>
      <w:r>
        <w:rPr>
          <w:rFonts w:hint="eastAsia"/>
          <w:sz w:val="32"/>
          <w:szCs w:val="32"/>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44"/>
          <w:szCs w:val="44"/>
        </w:rPr>
      </w:pPr>
      <w:bookmarkStart w:id="2" w:name="_GoBack"/>
      <w:bookmarkEnd w:id="2"/>
    </w:p>
    <w:p>
      <w:pPr>
        <w:pStyle w:val="4"/>
        <w:bidi w:val="0"/>
        <w:rPr>
          <w:u w:val="none" w:color="auto"/>
        </w:rPr>
      </w:pPr>
      <w:r>
        <w:rPr>
          <w:rFonts w:hint="eastAsia"/>
          <w:u w:val="none" w:color="auto"/>
        </w:rPr>
        <w:t>第一章 总则</w:t>
      </w:r>
    </w:p>
    <w:p>
      <w:pPr>
        <w:adjustRightInd w:val="0"/>
        <w:snapToGrid w:val="0"/>
        <w:spacing w:line="360" w:lineRule="auto"/>
        <w:ind w:firstLine="640"/>
        <w:rPr>
          <w:rFonts w:hint="eastAsia" w:ascii="仿宋_GB2312"/>
          <w:szCs w:val="32"/>
          <w:u w:val="none" w:color="auto"/>
        </w:rPr>
      </w:pPr>
      <w:r>
        <w:rPr>
          <w:rFonts w:hint="eastAsia" w:ascii="仿宋_GB2312"/>
          <w:b/>
          <w:szCs w:val="32"/>
          <w:u w:val="none" w:color="auto"/>
        </w:rPr>
        <w:t>第一条</w:t>
      </w:r>
      <w:r>
        <w:rPr>
          <w:rFonts w:hint="eastAsia" w:ascii="仿宋_GB2312"/>
          <w:szCs w:val="32"/>
          <w:u w:val="none" w:color="auto"/>
        </w:rPr>
        <w:t xml:space="preserve"> 为支持少数民族地区加快发展，促进各民族共同繁荣，</w:t>
      </w:r>
      <w:r>
        <w:rPr>
          <w:rFonts w:hint="eastAsia" w:ascii="仿宋_GB2312" w:cs="宋体"/>
          <w:bCs/>
          <w:kern w:val="0"/>
          <w:szCs w:val="32"/>
          <w:u w:val="none" w:color="auto"/>
          <w:lang w:eastAsia="zh-CN" w:bidi="ar-SA"/>
        </w:rPr>
        <w:t>根据《广东省促进民族地区发展条例》和《广东省人民政府办公厅关于印发广东省全面推进民族地区高质量发展行动方案的通知》（粤办函〔20</w:t>
      </w:r>
      <w:r>
        <w:rPr>
          <w:rFonts w:hint="eastAsia" w:ascii="仿宋_GB2312" w:cs="宋体"/>
          <w:bCs/>
          <w:kern w:val="0"/>
          <w:szCs w:val="32"/>
          <w:u w:val="none" w:color="auto"/>
          <w:lang w:val="en-US" w:eastAsia="zh-CN" w:bidi="ar-SA"/>
        </w:rPr>
        <w:t>22</w:t>
      </w:r>
      <w:r>
        <w:rPr>
          <w:rFonts w:hint="eastAsia" w:ascii="仿宋_GB2312" w:cs="宋体"/>
          <w:bCs/>
          <w:kern w:val="0"/>
          <w:szCs w:val="32"/>
          <w:u w:val="none" w:color="auto"/>
          <w:lang w:eastAsia="zh-CN" w:bidi="ar-SA"/>
        </w:rPr>
        <w:t>〕</w:t>
      </w:r>
      <w:r>
        <w:rPr>
          <w:rFonts w:hint="eastAsia" w:ascii="仿宋_GB2312" w:cs="宋体"/>
          <w:bCs/>
          <w:kern w:val="0"/>
          <w:szCs w:val="32"/>
          <w:u w:val="none" w:color="auto"/>
          <w:lang w:val="en-US" w:eastAsia="zh-CN" w:bidi="ar-SA"/>
        </w:rPr>
        <w:t>34</w:t>
      </w:r>
      <w:r>
        <w:rPr>
          <w:rFonts w:hint="eastAsia" w:ascii="仿宋_GB2312" w:cs="宋体"/>
          <w:bCs/>
          <w:kern w:val="0"/>
          <w:szCs w:val="32"/>
          <w:u w:val="none" w:color="auto"/>
          <w:lang w:eastAsia="zh-CN" w:bidi="ar-SA"/>
        </w:rPr>
        <w:t>8号）</w:t>
      </w:r>
      <w:r>
        <w:rPr>
          <w:rFonts w:hint="eastAsia" w:ascii="仿宋_GB2312"/>
          <w:szCs w:val="32"/>
          <w:u w:val="none" w:color="auto"/>
          <w:lang w:eastAsia="zh-CN"/>
        </w:rPr>
        <w:t>，</w:t>
      </w:r>
      <w:r>
        <w:rPr>
          <w:rFonts w:hint="eastAsia" w:ascii="仿宋_GB2312"/>
          <w:szCs w:val="32"/>
          <w:u w:val="none" w:color="auto"/>
        </w:rPr>
        <w:t>参照财政部</w:t>
      </w:r>
      <w:r>
        <w:rPr>
          <w:rFonts w:hint="eastAsia" w:ascii="仿宋_GB2312"/>
          <w:szCs w:val="32"/>
          <w:u w:val="none" w:color="auto"/>
          <w:lang w:eastAsia="zh-CN"/>
        </w:rPr>
        <w:t>《民族地区</w:t>
      </w:r>
      <w:r>
        <w:rPr>
          <w:rFonts w:hint="eastAsia" w:ascii="仿宋_GB2312"/>
          <w:szCs w:val="32"/>
          <w:u w:val="none" w:color="auto"/>
        </w:rPr>
        <w:t>转移支付管理办法</w:t>
      </w:r>
      <w:r>
        <w:rPr>
          <w:rFonts w:hint="eastAsia" w:ascii="仿宋_GB2312"/>
          <w:szCs w:val="32"/>
          <w:u w:val="none" w:color="auto"/>
          <w:lang w:eastAsia="zh-CN"/>
        </w:rPr>
        <w:t>》</w:t>
      </w:r>
      <w:r>
        <w:rPr>
          <w:rFonts w:hint="eastAsia" w:ascii="仿宋_GB2312"/>
          <w:szCs w:val="32"/>
          <w:u w:val="none" w:color="auto"/>
        </w:rPr>
        <w:t>，制定本办法。</w:t>
      </w:r>
    </w:p>
    <w:p>
      <w:pPr>
        <w:adjustRightInd w:val="0"/>
        <w:snapToGrid w:val="0"/>
        <w:spacing w:line="360" w:lineRule="auto"/>
        <w:ind w:firstLine="640"/>
        <w:rPr>
          <w:rFonts w:hint="eastAsia" w:ascii="仿宋_GB2312"/>
          <w:szCs w:val="32"/>
          <w:u w:val="none" w:color="auto"/>
          <w:lang w:eastAsia="zh-CN"/>
        </w:rPr>
      </w:pPr>
      <w:r>
        <w:rPr>
          <w:rFonts w:hint="eastAsia" w:ascii="仿宋_GB2312"/>
          <w:b/>
          <w:bCs/>
          <w:szCs w:val="32"/>
          <w:u w:val="none" w:color="auto"/>
        </w:rPr>
        <w:t>第二条</w:t>
      </w:r>
      <w:r>
        <w:rPr>
          <w:rFonts w:hint="eastAsia" w:ascii="仿宋_GB2312"/>
          <w:szCs w:val="32"/>
          <w:u w:val="none" w:color="auto"/>
        </w:rPr>
        <w:t xml:space="preserve"> 本办法所称</w:t>
      </w:r>
      <w:r>
        <w:rPr>
          <w:rFonts w:hint="eastAsia" w:ascii="仿宋_GB2312"/>
          <w:szCs w:val="32"/>
          <w:u w:val="none" w:color="auto"/>
          <w:lang w:eastAsia="zh-CN"/>
        </w:rPr>
        <w:t>民族地区</w:t>
      </w:r>
      <w:r>
        <w:rPr>
          <w:rFonts w:hint="eastAsia" w:ascii="仿宋_GB2312"/>
          <w:szCs w:val="32"/>
          <w:u w:val="none" w:color="auto"/>
        </w:rPr>
        <w:t>转移支付资金，是指中央和省财政设立，用于增强少数民族地区的财政保障能力，逐步缩小少数民族地区与其他地区的基本公共服务差距，促进少数民族地区科学发展、社会和谐</w:t>
      </w:r>
      <w:r>
        <w:rPr>
          <w:rFonts w:hint="eastAsia" w:ascii="仿宋_GB2312"/>
          <w:szCs w:val="32"/>
          <w:u w:val="none" w:color="auto"/>
          <w:lang w:eastAsia="zh-CN"/>
        </w:rPr>
        <w:t>的一般性转移支付资金。</w:t>
      </w:r>
    </w:p>
    <w:p>
      <w:pPr>
        <w:adjustRightInd w:val="0"/>
        <w:snapToGrid w:val="0"/>
        <w:spacing w:line="360" w:lineRule="auto"/>
        <w:ind w:firstLine="640"/>
        <w:rPr>
          <w:rFonts w:hint="eastAsia" w:ascii="仿宋_GB2312"/>
          <w:szCs w:val="32"/>
          <w:u w:val="none" w:color="auto"/>
        </w:rPr>
      </w:pPr>
      <w:r>
        <w:rPr>
          <w:rFonts w:hint="eastAsia" w:ascii="仿宋_GB2312"/>
          <w:b/>
          <w:bCs/>
          <w:szCs w:val="32"/>
          <w:u w:val="none" w:color="auto"/>
        </w:rPr>
        <w:t>第三条</w:t>
      </w:r>
      <w:r>
        <w:rPr>
          <w:rFonts w:hint="eastAsia" w:ascii="仿宋_GB2312"/>
          <w:szCs w:val="32"/>
          <w:u w:val="none" w:color="auto"/>
        </w:rPr>
        <w:t xml:space="preserve"> </w:t>
      </w:r>
      <w:r>
        <w:rPr>
          <w:rFonts w:hint="eastAsia" w:ascii="仿宋_GB2312"/>
          <w:szCs w:val="32"/>
          <w:u w:val="none" w:color="auto"/>
          <w:lang w:eastAsia="zh-CN"/>
        </w:rPr>
        <w:t>民族地区</w:t>
      </w:r>
      <w:r>
        <w:rPr>
          <w:rFonts w:hint="eastAsia" w:ascii="仿宋_GB2312"/>
          <w:szCs w:val="32"/>
          <w:u w:val="none" w:color="auto"/>
        </w:rPr>
        <w:t>转移支付资金分配对象为</w:t>
      </w:r>
      <w:r>
        <w:rPr>
          <w:rFonts w:hint="eastAsia" w:ascii="仿宋_GB2312" w:cs="仿宋_GB2312"/>
          <w:u w:val="none" w:color="auto"/>
          <w:lang w:eastAsia="zh-CN" w:bidi="ar-SA"/>
        </w:rPr>
        <w:t>我省管辖的三个少数民族自治县，分别为韶关市乳源瑶族自治县、清远市连山壮族瑶族自治县、清远市连南瑶族自治县</w:t>
      </w:r>
      <w:r>
        <w:rPr>
          <w:rFonts w:hint="eastAsia" w:ascii="仿宋_GB2312"/>
          <w:szCs w:val="32"/>
          <w:u w:val="none" w:color="auto"/>
        </w:rPr>
        <w:t>。</w:t>
      </w:r>
    </w:p>
    <w:p>
      <w:pPr>
        <w:pStyle w:val="4"/>
        <w:bidi w:val="0"/>
        <w:outlineLvl w:val="9"/>
        <w:rPr>
          <w:rFonts w:hint="eastAsia"/>
          <w:u w:val="none" w:color="auto"/>
        </w:rPr>
      </w:pPr>
    </w:p>
    <w:p>
      <w:pPr>
        <w:pStyle w:val="4"/>
        <w:bidi w:val="0"/>
        <w:rPr>
          <w:rFonts w:hint="eastAsia"/>
          <w:u w:val="none" w:color="auto"/>
        </w:rPr>
      </w:pPr>
      <w:r>
        <w:rPr>
          <w:rFonts w:hint="eastAsia"/>
          <w:u w:val="none" w:color="auto"/>
        </w:rPr>
        <w:t>第二章 资金分配和下达</w:t>
      </w:r>
    </w:p>
    <w:p>
      <w:pPr>
        <w:adjustRightInd w:val="0"/>
        <w:snapToGrid w:val="0"/>
        <w:spacing w:line="360" w:lineRule="auto"/>
        <w:ind w:firstLine="640"/>
        <w:rPr>
          <w:rFonts w:hint="eastAsia" w:ascii="仿宋_GB2312"/>
          <w:szCs w:val="32"/>
          <w:u w:val="none" w:color="auto"/>
        </w:rPr>
      </w:pPr>
      <w:r>
        <w:rPr>
          <w:rFonts w:hint="eastAsia" w:ascii="仿宋_GB2312"/>
          <w:b/>
          <w:szCs w:val="32"/>
          <w:u w:val="none" w:color="auto"/>
        </w:rPr>
        <w:t>第</w:t>
      </w:r>
      <w:r>
        <w:rPr>
          <w:rFonts w:hint="eastAsia" w:ascii="仿宋_GB2312"/>
          <w:b/>
          <w:szCs w:val="32"/>
          <w:u w:val="none" w:color="auto"/>
          <w:lang w:eastAsia="zh-CN"/>
        </w:rPr>
        <w:t>四</w:t>
      </w:r>
      <w:r>
        <w:rPr>
          <w:rFonts w:hint="eastAsia" w:ascii="仿宋_GB2312"/>
          <w:b/>
          <w:szCs w:val="32"/>
          <w:u w:val="none" w:color="auto"/>
        </w:rPr>
        <w:t xml:space="preserve">条 </w:t>
      </w:r>
      <w:r>
        <w:rPr>
          <w:rFonts w:hint="eastAsia" w:ascii="仿宋_GB2312"/>
          <w:szCs w:val="32"/>
          <w:u w:val="none" w:color="auto"/>
        </w:rPr>
        <w:t>省财政根据中央下达的民族地区转移支付数额，结合本地区实际情况，在年度预算中安排民族地区转移支付资金，由省级财政</w:t>
      </w:r>
      <w:r>
        <w:rPr>
          <w:rFonts w:hint="eastAsia" w:ascii="仿宋_GB2312"/>
          <w:szCs w:val="32"/>
          <w:u w:val="none" w:color="auto"/>
          <w:lang w:eastAsia="zh-CN"/>
        </w:rPr>
        <w:t>统一</w:t>
      </w:r>
      <w:r>
        <w:rPr>
          <w:rFonts w:hint="eastAsia" w:ascii="仿宋_GB2312"/>
          <w:szCs w:val="32"/>
          <w:u w:val="none" w:color="auto"/>
        </w:rPr>
        <w:t>分配到</w:t>
      </w:r>
      <w:r>
        <w:rPr>
          <w:rFonts w:hint="eastAsia" w:ascii="仿宋_GB2312"/>
          <w:szCs w:val="32"/>
          <w:u w:val="none" w:color="auto"/>
          <w:lang w:eastAsia="zh-CN"/>
        </w:rPr>
        <w:t>少数民族自治</w:t>
      </w:r>
      <w:r>
        <w:rPr>
          <w:rFonts w:hint="eastAsia" w:ascii="仿宋_GB2312"/>
          <w:szCs w:val="32"/>
          <w:u w:val="none" w:color="auto"/>
        </w:rPr>
        <w:t>县。</w:t>
      </w:r>
    </w:p>
    <w:p>
      <w:pPr>
        <w:adjustRightInd w:val="0"/>
        <w:snapToGrid w:val="0"/>
        <w:spacing w:line="360" w:lineRule="auto"/>
        <w:ind w:firstLine="643" w:firstLineChars="200"/>
        <w:rPr>
          <w:rFonts w:hint="eastAsia" w:ascii="仿宋_GB2312" w:cs="宋体"/>
          <w:bCs/>
          <w:kern w:val="0"/>
          <w:szCs w:val="32"/>
          <w:u w:val="none" w:color="auto"/>
          <w:lang w:eastAsia="zh-CN" w:bidi="ar-SA"/>
        </w:rPr>
      </w:pPr>
      <w:r>
        <w:rPr>
          <w:rFonts w:hint="eastAsia" w:ascii="仿宋_GB2312"/>
          <w:b/>
          <w:szCs w:val="32"/>
          <w:u w:val="none" w:color="auto"/>
        </w:rPr>
        <w:t>第</w:t>
      </w:r>
      <w:r>
        <w:rPr>
          <w:rFonts w:hint="eastAsia" w:ascii="仿宋_GB2312"/>
          <w:b/>
          <w:szCs w:val="32"/>
          <w:u w:val="none" w:color="auto"/>
          <w:lang w:eastAsia="zh-CN"/>
        </w:rPr>
        <w:t>五</w:t>
      </w:r>
      <w:r>
        <w:rPr>
          <w:rFonts w:hint="eastAsia" w:ascii="仿宋_GB2312"/>
          <w:b/>
          <w:szCs w:val="32"/>
          <w:u w:val="none" w:color="auto"/>
        </w:rPr>
        <w:t>条</w:t>
      </w:r>
      <w:r>
        <w:rPr>
          <w:rFonts w:hint="eastAsia" w:ascii="仿宋_GB2312"/>
          <w:szCs w:val="32"/>
          <w:u w:val="none" w:color="auto"/>
        </w:rPr>
        <w:t xml:space="preserve"> </w:t>
      </w:r>
      <w:r>
        <w:rPr>
          <w:rFonts w:hint="eastAsia" w:ascii="仿宋_GB2312" w:cs="宋体"/>
          <w:bCs/>
          <w:kern w:val="0"/>
          <w:szCs w:val="32"/>
          <w:u w:val="none" w:color="auto"/>
          <w:lang w:eastAsia="zh-CN" w:bidi="ar-SA"/>
        </w:rPr>
        <w:t>民族地区转移支付资金分配包括</w:t>
      </w:r>
      <w:r>
        <w:rPr>
          <w:rFonts w:hint="eastAsia"/>
          <w:u w:val="none" w:color="auto"/>
          <w:lang w:eastAsia="zh-CN"/>
        </w:rPr>
        <w:t>定额补助和因素法补助</w:t>
      </w:r>
      <w:r>
        <w:rPr>
          <w:rFonts w:hint="eastAsia" w:ascii="仿宋_GB2312" w:cs="宋体"/>
          <w:bCs/>
          <w:kern w:val="0"/>
          <w:szCs w:val="32"/>
          <w:u w:val="none" w:color="auto"/>
          <w:lang w:eastAsia="zh-CN" w:bidi="ar-SA"/>
        </w:rPr>
        <w:t>两部分。</w:t>
      </w:r>
    </w:p>
    <w:p>
      <w:pPr>
        <w:adjustRightInd w:val="0"/>
        <w:snapToGrid w:val="0"/>
        <w:spacing w:line="360" w:lineRule="auto"/>
        <w:ind w:firstLine="640" w:firstLineChars="200"/>
        <w:rPr>
          <w:rFonts w:hint="eastAsia" w:ascii="仿宋_GB2312" w:cs="宋体"/>
          <w:bCs/>
          <w:kern w:val="0"/>
          <w:szCs w:val="32"/>
          <w:u w:val="none" w:color="auto"/>
          <w:lang w:val="en-US" w:eastAsia="zh-CN" w:bidi="ar-SA"/>
        </w:rPr>
      </w:pPr>
      <w:r>
        <w:rPr>
          <w:rFonts w:hint="eastAsia"/>
          <w:u w:val="none" w:color="auto"/>
          <w:lang w:eastAsia="zh-CN"/>
        </w:rPr>
        <w:t>定额补助部分</w:t>
      </w:r>
      <w:r>
        <w:rPr>
          <w:rFonts w:hint="eastAsia" w:ascii="仿宋_GB2312" w:cs="宋体"/>
          <w:bCs/>
          <w:kern w:val="0"/>
          <w:szCs w:val="32"/>
          <w:u w:val="none" w:color="auto"/>
          <w:lang w:val="en-US" w:eastAsia="zh-CN" w:bidi="ar-SA"/>
        </w:rPr>
        <w:t>按照</w:t>
      </w:r>
      <w:r>
        <w:rPr>
          <w:rFonts w:hint="eastAsia" w:ascii="仿宋_GB2312" w:cs="宋体"/>
          <w:bCs/>
          <w:kern w:val="0"/>
          <w:szCs w:val="32"/>
          <w:u w:val="none" w:color="auto"/>
          <w:lang w:eastAsia="zh-CN" w:bidi="ar-SA"/>
        </w:rPr>
        <w:t>粤办函〔20</w:t>
      </w:r>
      <w:r>
        <w:rPr>
          <w:rFonts w:hint="eastAsia" w:ascii="仿宋_GB2312" w:cs="宋体"/>
          <w:bCs/>
          <w:kern w:val="0"/>
          <w:szCs w:val="32"/>
          <w:u w:val="none" w:color="auto"/>
          <w:lang w:val="en-US" w:eastAsia="zh-CN" w:bidi="ar-SA"/>
        </w:rPr>
        <w:t>22</w:t>
      </w:r>
      <w:r>
        <w:rPr>
          <w:rFonts w:hint="eastAsia" w:ascii="仿宋_GB2312" w:cs="宋体"/>
          <w:bCs/>
          <w:kern w:val="0"/>
          <w:szCs w:val="32"/>
          <w:u w:val="none" w:color="auto"/>
          <w:lang w:eastAsia="zh-CN" w:bidi="ar-SA"/>
        </w:rPr>
        <w:t>〕</w:t>
      </w:r>
      <w:r>
        <w:rPr>
          <w:rFonts w:hint="eastAsia" w:ascii="仿宋_GB2312" w:cs="宋体"/>
          <w:bCs/>
          <w:kern w:val="0"/>
          <w:szCs w:val="32"/>
          <w:u w:val="none" w:color="auto"/>
          <w:lang w:val="en-US" w:eastAsia="zh-CN" w:bidi="ar-SA"/>
        </w:rPr>
        <w:t>34</w:t>
      </w:r>
      <w:r>
        <w:rPr>
          <w:rFonts w:hint="eastAsia" w:ascii="仿宋_GB2312" w:cs="宋体"/>
          <w:bCs/>
          <w:kern w:val="0"/>
          <w:szCs w:val="32"/>
          <w:u w:val="none" w:color="auto"/>
          <w:lang w:eastAsia="zh-CN" w:bidi="ar-SA"/>
        </w:rPr>
        <w:t>8号文</w:t>
      </w:r>
      <w:r>
        <w:rPr>
          <w:rFonts w:hint="eastAsia" w:ascii="仿宋_GB2312" w:cs="宋体"/>
          <w:bCs/>
          <w:kern w:val="0"/>
          <w:szCs w:val="32"/>
          <w:u w:val="none" w:color="auto"/>
          <w:lang w:val="en-US" w:eastAsia="zh-CN" w:bidi="ar-SA"/>
        </w:rPr>
        <w:t>规定，自2023年起，对3个少数民族自治县每年每县安排5000万元。</w:t>
      </w:r>
    </w:p>
    <w:p>
      <w:pPr>
        <w:adjustRightInd w:val="0"/>
        <w:snapToGrid w:val="0"/>
        <w:spacing w:line="360" w:lineRule="auto"/>
        <w:ind w:firstLine="640" w:firstLineChars="200"/>
        <w:rPr>
          <w:rFonts w:hint="eastAsia" w:ascii="仿宋_GB2312" w:cs="仿宋_GB2312"/>
          <w:u w:val="none" w:color="auto"/>
          <w:lang w:val="en-US" w:eastAsia="zh-CN" w:bidi="ar-SA"/>
        </w:rPr>
      </w:pPr>
      <w:r>
        <w:rPr>
          <w:rFonts w:hint="eastAsia" w:ascii="仿宋_GB2312" w:cs="仿宋_GB2312"/>
          <w:u w:val="none" w:color="auto"/>
          <w:lang w:val="en-US" w:eastAsia="zh-CN" w:bidi="ar-SA"/>
        </w:rPr>
        <w:t>因素法补助对3个少数民族自治县</w:t>
      </w:r>
      <w:r>
        <w:rPr>
          <w:rFonts w:hint="eastAsia" w:ascii="仿宋_GB2312" w:cs="宋体"/>
          <w:bCs/>
          <w:kern w:val="0"/>
          <w:szCs w:val="32"/>
          <w:u w:val="none" w:color="auto"/>
          <w:lang w:val="en-US" w:eastAsia="zh-CN" w:bidi="ar-SA"/>
        </w:rPr>
        <w:t>按人</w:t>
      </w:r>
      <w:r>
        <w:rPr>
          <w:rFonts w:hint="eastAsia" w:ascii="仿宋_GB2312" w:cs="仿宋_GB2312"/>
          <w:u w:val="none" w:color="auto"/>
          <w:lang w:val="en-US" w:eastAsia="zh-CN" w:bidi="ar-SA"/>
        </w:rPr>
        <w:t>均可支配财力、人均公共财政预算支出、国土面积、人口等因素测算分配。用公式表示为：</w:t>
      </w:r>
    </w:p>
    <w:p>
      <w:pPr>
        <w:adjustRightInd w:val="0"/>
        <w:snapToGrid w:val="0"/>
        <w:spacing w:line="360" w:lineRule="auto"/>
        <w:ind w:firstLine="640" w:firstLineChars="200"/>
        <w:rPr>
          <w:rFonts w:hint="eastAsia" w:ascii="仿宋_GB2312" w:cs="仿宋_GB2312"/>
          <w:u w:val="none" w:color="auto"/>
          <w:lang w:val="en-US" w:eastAsia="zh-CN" w:bidi="ar-SA"/>
        </w:rPr>
      </w:pPr>
      <w:r>
        <w:rPr>
          <w:rFonts w:hint="eastAsia" w:ascii="仿宋_GB2312" w:cs="仿宋_GB2312"/>
          <w:u w:val="none" w:color="auto"/>
          <w:lang w:val="en-US" w:eastAsia="zh-CN" w:bidi="ar-SA"/>
        </w:rPr>
        <w:t>某县获得因素法补助=因素法补助总额×综合系数占比</w:t>
      </w:r>
    </w:p>
    <w:p>
      <w:pPr>
        <w:adjustRightInd w:val="0"/>
        <w:snapToGrid w:val="0"/>
        <w:spacing w:line="360" w:lineRule="auto"/>
        <w:ind w:firstLine="640" w:firstLineChars="200"/>
        <w:rPr>
          <w:rFonts w:hint="eastAsia" w:ascii="仿宋_GB2312" w:cs="仿宋_GB2312"/>
          <w:u w:val="none" w:color="auto"/>
          <w:lang w:val="en-US" w:eastAsia="zh-CN" w:bidi="ar-SA"/>
        </w:rPr>
      </w:pPr>
      <w:r>
        <w:rPr>
          <w:rFonts w:hint="eastAsia" w:ascii="仿宋_GB2312" w:cs="仿宋_GB2312"/>
          <w:u w:val="none" w:color="auto"/>
          <w:lang w:val="en-US" w:eastAsia="zh-CN" w:bidi="ar-SA"/>
        </w:rPr>
        <w:t>综合系数=人均财力系数×30%＋人均支出系数×20%＋人口系数×30%＋国土面积系数×20%</w:t>
      </w:r>
    </w:p>
    <w:p>
      <w:pPr>
        <w:adjustRightInd w:val="0"/>
        <w:snapToGrid w:val="0"/>
        <w:spacing w:line="360" w:lineRule="auto"/>
        <w:ind w:firstLine="640" w:firstLineChars="200"/>
        <w:rPr>
          <w:rFonts w:hint="eastAsia" w:ascii="仿宋_GB2312"/>
          <w:szCs w:val="32"/>
          <w:u w:val="none" w:color="auto"/>
          <w:lang w:eastAsia="zh-CN"/>
        </w:rPr>
      </w:pPr>
      <w:r>
        <w:rPr>
          <w:rFonts w:hint="eastAsia" w:ascii="仿宋_GB2312" w:cs="仿宋_GB2312"/>
          <w:u w:val="none" w:color="auto"/>
          <w:lang w:val="en-US" w:eastAsia="zh-CN" w:bidi="ar-SA"/>
        </w:rPr>
        <w:t>其中，</w:t>
      </w:r>
      <w:r>
        <w:rPr>
          <w:rFonts w:hint="eastAsia" w:ascii="仿宋_GB2312"/>
          <w:szCs w:val="32"/>
          <w:u w:val="none" w:color="auto"/>
        </w:rPr>
        <w:t>人口</w:t>
      </w:r>
      <w:r>
        <w:rPr>
          <w:rFonts w:hint="eastAsia" w:ascii="仿宋_GB2312" w:cs="仿宋_GB2312"/>
          <w:u w:val="none" w:color="auto"/>
          <w:lang w:val="en-US" w:eastAsia="zh-CN" w:bidi="ar-SA"/>
        </w:rPr>
        <w:t>系数</w:t>
      </w:r>
      <w:r>
        <w:rPr>
          <w:rFonts w:hint="eastAsia" w:ascii="仿宋_GB2312"/>
          <w:szCs w:val="32"/>
          <w:u w:val="none" w:color="auto"/>
        </w:rPr>
        <w:t>按照户籍人口、常住人口、财政供养人口数据综合确定</w:t>
      </w:r>
      <w:r>
        <w:rPr>
          <w:rFonts w:hint="eastAsia" w:ascii="仿宋_GB2312"/>
          <w:szCs w:val="32"/>
          <w:u w:val="none" w:color="auto"/>
          <w:lang w:eastAsia="zh-CN"/>
        </w:rPr>
        <w:t>；</w:t>
      </w:r>
      <w:r>
        <w:rPr>
          <w:rFonts w:hint="eastAsia" w:ascii="仿宋_GB2312"/>
          <w:szCs w:val="32"/>
          <w:highlight w:val="none"/>
          <w:u w:val="none" w:color="auto"/>
        </w:rPr>
        <w:t>人均</w:t>
      </w:r>
      <w:r>
        <w:rPr>
          <w:rFonts w:hint="eastAsia" w:ascii="仿宋_GB2312"/>
          <w:szCs w:val="32"/>
          <w:highlight w:val="none"/>
          <w:u w:val="none" w:color="auto"/>
          <w:lang w:eastAsia="zh-CN"/>
        </w:rPr>
        <w:t>财力系数按财</w:t>
      </w:r>
      <w:r>
        <w:rPr>
          <w:rFonts w:hint="eastAsia" w:ascii="仿宋_GB2312"/>
          <w:szCs w:val="32"/>
          <w:highlight w:val="none"/>
          <w:u w:val="none" w:color="auto"/>
        </w:rPr>
        <w:t>供人口</w:t>
      </w:r>
      <w:r>
        <w:rPr>
          <w:rFonts w:hint="eastAsia" w:ascii="仿宋_GB2312"/>
          <w:szCs w:val="32"/>
          <w:highlight w:val="none"/>
          <w:u w:val="none" w:color="auto"/>
          <w:lang w:eastAsia="zh-CN"/>
        </w:rPr>
        <w:t>人均可支配财力</w:t>
      </w:r>
      <w:r>
        <w:rPr>
          <w:rFonts w:hint="eastAsia" w:ascii="仿宋_GB2312"/>
          <w:szCs w:val="32"/>
          <w:highlight w:val="none"/>
          <w:u w:val="none" w:color="auto"/>
        </w:rPr>
        <w:t>计算</w:t>
      </w:r>
      <w:r>
        <w:rPr>
          <w:rFonts w:hint="eastAsia" w:ascii="仿宋_GB2312"/>
          <w:szCs w:val="32"/>
          <w:highlight w:val="none"/>
          <w:u w:val="none" w:color="auto"/>
          <w:lang w:eastAsia="zh-CN"/>
        </w:rPr>
        <w:t>；</w:t>
      </w:r>
      <w:r>
        <w:rPr>
          <w:rFonts w:hint="eastAsia" w:ascii="仿宋_GB2312"/>
          <w:szCs w:val="32"/>
          <w:highlight w:val="none"/>
          <w:u w:val="none" w:color="auto"/>
        </w:rPr>
        <w:t>人均支出按照常住人口</w:t>
      </w:r>
      <w:r>
        <w:rPr>
          <w:rFonts w:hint="eastAsia" w:ascii="仿宋_GB2312"/>
          <w:szCs w:val="32"/>
          <w:highlight w:val="none"/>
          <w:u w:val="none" w:color="auto"/>
          <w:lang w:eastAsia="zh-CN"/>
        </w:rPr>
        <w:t>人均</w:t>
      </w:r>
      <w:r>
        <w:rPr>
          <w:rFonts w:hint="eastAsia" w:ascii="仿宋_GB2312"/>
          <w:szCs w:val="32"/>
          <w:highlight w:val="none"/>
          <w:u w:val="none" w:color="auto"/>
        </w:rPr>
        <w:t>公共预算</w:t>
      </w:r>
      <w:r>
        <w:rPr>
          <w:rFonts w:hint="eastAsia" w:ascii="仿宋_GB2312"/>
          <w:szCs w:val="32"/>
          <w:highlight w:val="none"/>
          <w:u w:val="none" w:color="auto"/>
          <w:lang w:eastAsia="zh-CN"/>
        </w:rPr>
        <w:t>支出</w:t>
      </w:r>
      <w:r>
        <w:rPr>
          <w:rFonts w:hint="eastAsia" w:ascii="仿宋_GB2312"/>
          <w:szCs w:val="32"/>
          <w:highlight w:val="none"/>
          <w:u w:val="none" w:color="auto"/>
        </w:rPr>
        <w:t>计算</w:t>
      </w:r>
      <w:r>
        <w:rPr>
          <w:rFonts w:hint="eastAsia" w:ascii="仿宋_GB2312"/>
          <w:szCs w:val="32"/>
          <w:highlight w:val="none"/>
          <w:u w:val="none" w:color="auto"/>
          <w:lang w:eastAsia="zh-CN"/>
        </w:rPr>
        <w:t>。</w:t>
      </w:r>
    </w:p>
    <w:p>
      <w:pPr>
        <w:adjustRightInd w:val="0"/>
        <w:snapToGrid w:val="0"/>
        <w:spacing w:line="360" w:lineRule="auto"/>
        <w:ind w:firstLine="643" w:firstLineChars="200"/>
        <w:rPr>
          <w:rFonts w:hint="eastAsia" w:ascii="仿宋_GB2312" w:cs="宋体"/>
          <w:bCs/>
          <w:kern w:val="0"/>
          <w:szCs w:val="32"/>
          <w:u w:val="none" w:color="auto"/>
          <w:lang w:eastAsia="zh-CN" w:bidi="ar-SA"/>
        </w:rPr>
      </w:pPr>
      <w:r>
        <w:rPr>
          <w:rFonts w:hint="eastAsia" w:ascii="仿宋_GB2312" w:cs="宋体"/>
          <w:b/>
          <w:kern w:val="0"/>
          <w:szCs w:val="32"/>
          <w:u w:val="none" w:color="auto"/>
          <w:lang w:eastAsia="zh-CN" w:bidi="ar-SA"/>
        </w:rPr>
        <w:t>第六条</w:t>
      </w:r>
      <w:r>
        <w:rPr>
          <w:rFonts w:hint="eastAsia" w:ascii="仿宋_GB2312" w:cs="宋体"/>
          <w:bCs/>
          <w:kern w:val="0"/>
          <w:szCs w:val="32"/>
          <w:u w:val="none" w:color="auto"/>
          <w:lang w:val="en-US" w:eastAsia="zh-CN" w:bidi="ar-SA"/>
        </w:rPr>
        <w:t xml:space="preserve"> </w:t>
      </w:r>
      <w:r>
        <w:rPr>
          <w:rFonts w:hint="eastAsia" w:ascii="仿宋_GB2312" w:cs="宋体"/>
          <w:bCs/>
          <w:kern w:val="0"/>
          <w:szCs w:val="32"/>
          <w:u w:val="none" w:color="auto"/>
          <w:lang w:bidi="ar-SA"/>
        </w:rPr>
        <w:t>每年6月30日前，省财政将当年</w:t>
      </w:r>
      <w:r>
        <w:rPr>
          <w:rFonts w:hint="eastAsia" w:ascii="仿宋_GB2312" w:cs="宋体"/>
          <w:bCs/>
          <w:kern w:val="0"/>
          <w:szCs w:val="32"/>
          <w:u w:val="none" w:color="auto"/>
          <w:lang w:eastAsia="zh-CN" w:bidi="ar-SA"/>
        </w:rPr>
        <w:t>民族地区</w:t>
      </w:r>
      <w:r>
        <w:rPr>
          <w:rFonts w:hint="eastAsia" w:ascii="仿宋_GB2312" w:cs="宋体"/>
          <w:bCs/>
          <w:kern w:val="0"/>
          <w:szCs w:val="32"/>
          <w:u w:val="none" w:color="auto"/>
          <w:lang w:bidi="ar-SA"/>
        </w:rPr>
        <w:t>转移支付下达市县财政；当年11月30日前，</w:t>
      </w:r>
      <w:r>
        <w:rPr>
          <w:rFonts w:hint="eastAsia" w:ascii="仿宋_GB2312" w:cs="宋体"/>
          <w:bCs/>
          <w:kern w:val="0"/>
          <w:szCs w:val="32"/>
          <w:u w:val="none" w:color="auto"/>
          <w:lang w:eastAsia="zh-CN" w:bidi="ar-SA"/>
        </w:rPr>
        <w:t>提前向市县财政下达下一年度民族地区转移支付预计数。</w:t>
      </w:r>
    </w:p>
    <w:p>
      <w:pPr>
        <w:adjustRightInd w:val="0"/>
        <w:snapToGrid w:val="0"/>
        <w:spacing w:line="360" w:lineRule="auto"/>
        <w:ind w:firstLine="643" w:firstLineChars="200"/>
        <w:rPr>
          <w:rFonts w:hint="eastAsia" w:ascii="仿宋_GB2312"/>
          <w:szCs w:val="32"/>
          <w:u w:val="none" w:color="auto"/>
        </w:rPr>
      </w:pPr>
      <w:r>
        <w:rPr>
          <w:rFonts w:hint="eastAsia" w:ascii="仿宋_GB2312"/>
          <w:b/>
          <w:szCs w:val="32"/>
          <w:u w:val="none" w:color="auto"/>
        </w:rPr>
        <w:t>第</w:t>
      </w:r>
      <w:r>
        <w:rPr>
          <w:rFonts w:hint="eastAsia" w:ascii="仿宋_GB2312"/>
          <w:b/>
          <w:szCs w:val="32"/>
          <w:u w:val="none" w:color="auto"/>
          <w:lang w:eastAsia="zh-CN"/>
        </w:rPr>
        <w:t>七</w:t>
      </w:r>
      <w:r>
        <w:rPr>
          <w:rFonts w:hint="eastAsia" w:ascii="仿宋_GB2312"/>
          <w:b/>
          <w:szCs w:val="32"/>
          <w:u w:val="none" w:color="auto"/>
        </w:rPr>
        <w:t xml:space="preserve">条 </w:t>
      </w:r>
      <w:r>
        <w:rPr>
          <w:rFonts w:hint="eastAsia" w:ascii="仿宋_GB2312"/>
          <w:szCs w:val="32"/>
          <w:u w:val="none" w:color="auto"/>
        </w:rPr>
        <w:t>市级财政可根据本地区实际情况，在年度预算中安排一定资金，与省财政补助资金一并使用。</w:t>
      </w:r>
      <w:r>
        <w:rPr>
          <w:rFonts w:hint="eastAsia" w:ascii="仿宋_GB2312"/>
          <w:szCs w:val="32"/>
          <w:u w:val="none" w:color="auto"/>
          <w:lang w:eastAsia="zh-CN"/>
        </w:rPr>
        <w:t>民族地区</w:t>
      </w:r>
      <w:r>
        <w:rPr>
          <w:rFonts w:hint="eastAsia" w:ascii="仿宋_GB2312"/>
          <w:szCs w:val="32"/>
          <w:u w:val="none" w:color="auto"/>
        </w:rPr>
        <w:t>转移支付资金不要求县级财政配套，不得为其他专项资金进行配套。</w:t>
      </w:r>
    </w:p>
    <w:p>
      <w:pPr>
        <w:adjustRightInd w:val="0"/>
        <w:snapToGrid w:val="0"/>
        <w:spacing w:line="360" w:lineRule="auto"/>
        <w:ind w:firstLine="645"/>
        <w:rPr>
          <w:rFonts w:hint="eastAsia" w:ascii="仿宋_GB2312"/>
          <w:szCs w:val="32"/>
          <w:u w:val="none" w:color="auto"/>
        </w:rPr>
      </w:pPr>
    </w:p>
    <w:p>
      <w:pPr>
        <w:pStyle w:val="4"/>
        <w:bidi w:val="0"/>
        <w:spacing w:line="360" w:lineRule="auto"/>
        <w:rPr>
          <w:rFonts w:hint="eastAsia"/>
          <w:u w:val="none" w:color="auto"/>
        </w:rPr>
      </w:pPr>
      <w:r>
        <w:rPr>
          <w:rFonts w:hint="eastAsia"/>
          <w:u w:val="none" w:color="auto"/>
        </w:rPr>
        <w:t>第三章 资金管理和使用</w:t>
      </w:r>
    </w:p>
    <w:p>
      <w:pPr>
        <w:adjustRightInd w:val="0"/>
        <w:snapToGrid w:val="0"/>
        <w:spacing w:line="360" w:lineRule="auto"/>
        <w:ind w:firstLine="643" w:firstLineChars="200"/>
        <w:rPr>
          <w:rFonts w:hint="eastAsia" w:ascii="仿宋_GB2312"/>
          <w:szCs w:val="32"/>
          <w:u w:val="none" w:color="auto"/>
        </w:rPr>
      </w:pPr>
      <w:r>
        <w:rPr>
          <w:rFonts w:hint="eastAsia" w:ascii="仿宋_GB2312"/>
          <w:b/>
          <w:szCs w:val="32"/>
          <w:u w:val="none" w:color="auto"/>
        </w:rPr>
        <w:t>第</w:t>
      </w:r>
      <w:r>
        <w:rPr>
          <w:rFonts w:hint="eastAsia" w:ascii="仿宋_GB2312"/>
          <w:b/>
          <w:szCs w:val="32"/>
          <w:u w:val="none" w:color="auto"/>
          <w:lang w:eastAsia="zh-CN"/>
        </w:rPr>
        <w:t>八</w:t>
      </w:r>
      <w:r>
        <w:rPr>
          <w:rFonts w:hint="eastAsia" w:ascii="仿宋_GB2312"/>
          <w:b/>
          <w:szCs w:val="32"/>
          <w:u w:val="none" w:color="auto"/>
        </w:rPr>
        <w:t xml:space="preserve">条 </w:t>
      </w:r>
      <w:r>
        <w:rPr>
          <w:rFonts w:hint="eastAsia" w:ascii="仿宋_GB2312"/>
          <w:szCs w:val="32"/>
          <w:u w:val="none" w:color="auto"/>
        </w:rPr>
        <w:t>民族地区转移支付资金的使用实行分级管理。省财政负责制定本地区民族地区转移支付政策，分配、下达转移支付资金；开展对市县财政管理和使用转移支付资金的绩效评价和监督检查。</w:t>
      </w:r>
    </w:p>
    <w:p>
      <w:pPr>
        <w:adjustRightInd w:val="0"/>
        <w:snapToGrid w:val="0"/>
        <w:spacing w:line="360" w:lineRule="auto"/>
        <w:ind w:firstLine="640" w:firstLineChars="200"/>
        <w:rPr>
          <w:rFonts w:hint="eastAsia" w:ascii="仿宋_GB2312"/>
          <w:szCs w:val="32"/>
          <w:u w:val="none" w:color="auto"/>
        </w:rPr>
      </w:pPr>
      <w:r>
        <w:rPr>
          <w:rFonts w:hint="eastAsia" w:ascii="仿宋_GB2312"/>
          <w:szCs w:val="32"/>
          <w:u w:val="none" w:color="auto"/>
        </w:rPr>
        <w:t>县级财政部门负责管理、安排和使用本地区</w:t>
      </w:r>
      <w:r>
        <w:rPr>
          <w:rFonts w:hint="eastAsia" w:ascii="仿宋_GB2312"/>
          <w:szCs w:val="32"/>
          <w:u w:val="none" w:color="auto"/>
          <w:lang w:eastAsia="zh-CN"/>
        </w:rPr>
        <w:t>民族地区</w:t>
      </w:r>
      <w:r>
        <w:rPr>
          <w:rFonts w:hint="eastAsia" w:ascii="仿宋_GB2312"/>
          <w:szCs w:val="32"/>
          <w:u w:val="none" w:color="auto"/>
        </w:rPr>
        <w:t>转移支付资金，开展绩效评价，将有关情况报省级财政备案。</w:t>
      </w:r>
    </w:p>
    <w:p>
      <w:pPr>
        <w:adjustRightInd w:val="0"/>
        <w:snapToGrid w:val="0"/>
        <w:spacing w:line="360" w:lineRule="auto"/>
        <w:ind w:firstLine="643" w:firstLineChars="200"/>
        <w:rPr>
          <w:rFonts w:hint="eastAsia" w:ascii="仿宋_GB2312"/>
          <w:szCs w:val="32"/>
          <w:u w:val="none" w:color="auto"/>
        </w:rPr>
      </w:pPr>
      <w:r>
        <w:rPr>
          <w:rFonts w:hint="eastAsia" w:ascii="仿宋_GB2312" w:cs="宋体"/>
          <w:b/>
          <w:kern w:val="0"/>
          <w:szCs w:val="32"/>
          <w:u w:val="none" w:color="auto"/>
          <w:lang w:eastAsia="zh-CN" w:bidi="ar-SA"/>
        </w:rPr>
        <w:t>第九条</w:t>
      </w:r>
      <w:r>
        <w:rPr>
          <w:rFonts w:hint="eastAsia" w:ascii="仿宋_GB2312"/>
          <w:szCs w:val="32"/>
          <w:u w:val="none" w:color="auto"/>
          <w:lang w:val="en-US" w:eastAsia="zh-CN"/>
        </w:rPr>
        <w:t xml:space="preserve"> </w:t>
      </w:r>
      <w:r>
        <w:rPr>
          <w:rFonts w:hint="eastAsia" w:ascii="仿宋_GB2312"/>
          <w:szCs w:val="32"/>
          <w:u w:val="none" w:color="auto"/>
        </w:rPr>
        <w:t>民族地区转移支付资金属于</w:t>
      </w:r>
      <w:r>
        <w:rPr>
          <w:rFonts w:hint="eastAsia" w:ascii="仿宋_GB2312"/>
          <w:szCs w:val="32"/>
          <w:u w:val="none" w:color="auto"/>
          <w:lang w:eastAsia="zh-CN"/>
        </w:rPr>
        <w:t>财力性转移支付资金</w:t>
      </w:r>
      <w:r>
        <w:rPr>
          <w:rFonts w:hint="eastAsia" w:ascii="仿宋_GB2312"/>
          <w:szCs w:val="32"/>
          <w:u w:val="none" w:color="auto"/>
        </w:rPr>
        <w:t>，</w:t>
      </w:r>
      <w:r>
        <w:rPr>
          <w:rFonts w:hint="eastAsia" w:ascii="仿宋_GB2312"/>
          <w:szCs w:val="32"/>
          <w:u w:val="none" w:color="auto"/>
          <w:lang w:eastAsia="zh-CN"/>
        </w:rPr>
        <w:t>可</w:t>
      </w:r>
      <w:r>
        <w:rPr>
          <w:rFonts w:hint="eastAsia" w:ascii="仿宋_GB2312"/>
          <w:szCs w:val="32"/>
          <w:u w:val="none" w:color="auto"/>
        </w:rPr>
        <w:t>由</w:t>
      </w:r>
      <w:r>
        <w:rPr>
          <w:rFonts w:hint="eastAsia" w:ascii="仿宋_GB2312"/>
          <w:szCs w:val="32"/>
          <w:u w:val="none" w:color="auto"/>
          <w:lang w:eastAsia="zh-CN"/>
        </w:rPr>
        <w:t>民族自治地方政府</w:t>
      </w:r>
      <w:r>
        <w:rPr>
          <w:rFonts w:hint="eastAsia" w:ascii="仿宋_GB2312"/>
          <w:szCs w:val="32"/>
          <w:u w:val="none" w:color="auto"/>
        </w:rPr>
        <w:t>根据地方实际统筹</w:t>
      </w:r>
      <w:r>
        <w:rPr>
          <w:rFonts w:hint="eastAsia" w:ascii="仿宋_GB2312"/>
          <w:szCs w:val="32"/>
          <w:u w:val="none" w:color="auto"/>
          <w:lang w:eastAsia="zh-CN"/>
        </w:rPr>
        <w:t>保障机构运转、</w:t>
      </w:r>
      <w:r>
        <w:rPr>
          <w:rFonts w:hint="eastAsia" w:ascii="仿宋_GB2312"/>
          <w:szCs w:val="32"/>
          <w:u w:val="none" w:color="auto"/>
        </w:rPr>
        <w:t>保障和改善民生以及偿还到期债务，严禁用于“形象工程”和“政绩工程”，严禁用于新建党政机关楼堂馆所和超标准装修办公用房等。</w:t>
      </w:r>
    </w:p>
    <w:p>
      <w:pPr>
        <w:adjustRightInd w:val="0"/>
        <w:snapToGrid w:val="0"/>
        <w:spacing w:line="360" w:lineRule="auto"/>
        <w:ind w:firstLine="643" w:firstLineChars="200"/>
        <w:rPr>
          <w:rFonts w:hint="eastAsia" w:ascii="仿宋_GB2312" w:cs="宋体"/>
          <w:bCs/>
          <w:kern w:val="0"/>
          <w:szCs w:val="32"/>
          <w:highlight w:val="none"/>
          <w:u w:val="none" w:color="auto"/>
          <w:lang w:val="en-US" w:eastAsia="zh-CN" w:bidi="ar-SA"/>
        </w:rPr>
      </w:pPr>
      <w:r>
        <w:rPr>
          <w:rFonts w:hint="eastAsia" w:ascii="仿宋_GB2312" w:cs="宋体"/>
          <w:b/>
          <w:kern w:val="0"/>
          <w:szCs w:val="32"/>
          <w:highlight w:val="none"/>
          <w:u w:val="none" w:color="auto"/>
          <w:lang w:bidi="ar-SA"/>
        </w:rPr>
        <w:t>第</w:t>
      </w:r>
      <w:r>
        <w:rPr>
          <w:rFonts w:hint="eastAsia" w:ascii="仿宋_GB2312" w:cs="宋体"/>
          <w:b/>
          <w:kern w:val="0"/>
          <w:szCs w:val="32"/>
          <w:highlight w:val="none"/>
          <w:u w:val="none" w:color="auto"/>
          <w:lang w:eastAsia="zh-CN" w:bidi="ar-SA"/>
        </w:rPr>
        <w:t>十</w:t>
      </w:r>
      <w:r>
        <w:rPr>
          <w:rFonts w:hint="eastAsia" w:ascii="仿宋_GB2312" w:cs="宋体"/>
          <w:b/>
          <w:kern w:val="0"/>
          <w:szCs w:val="32"/>
          <w:highlight w:val="none"/>
          <w:u w:val="none" w:color="auto"/>
          <w:lang w:bidi="ar-SA"/>
        </w:rPr>
        <w:t>条</w:t>
      </w:r>
      <w:r>
        <w:rPr>
          <w:rFonts w:hint="eastAsia" w:ascii="仿宋_GB2312" w:cs="宋体"/>
          <w:b/>
          <w:kern w:val="0"/>
          <w:szCs w:val="32"/>
          <w:highlight w:val="none"/>
          <w:u w:val="none" w:color="auto"/>
          <w:lang w:val="en-US" w:eastAsia="zh-CN" w:bidi="ar-SA"/>
        </w:rPr>
        <w:t xml:space="preserve"> </w:t>
      </w:r>
      <w:r>
        <w:rPr>
          <w:rFonts w:hint="eastAsia" w:ascii="仿宋_GB2312" w:cs="宋体"/>
          <w:bCs/>
          <w:kern w:val="0"/>
          <w:szCs w:val="32"/>
          <w:highlight w:val="none"/>
          <w:u w:val="none" w:color="auto"/>
          <w:lang w:eastAsia="zh-CN" w:bidi="ar-SA"/>
        </w:rPr>
        <w:t>县级财政部门总结上年度民族地区转移支付资金使用情况和政策实施效果，每年</w:t>
      </w:r>
      <w:r>
        <w:rPr>
          <w:rFonts w:hint="eastAsia" w:ascii="仿宋_GB2312" w:cs="宋体"/>
          <w:bCs/>
          <w:kern w:val="0"/>
          <w:szCs w:val="32"/>
          <w:highlight w:val="none"/>
          <w:u w:val="none" w:color="auto"/>
          <w:lang w:val="en-US" w:eastAsia="zh-CN" w:bidi="ar-SA"/>
        </w:rPr>
        <w:t>3月底前逐级汇总上报。</w:t>
      </w:r>
    </w:p>
    <w:p>
      <w:pPr>
        <w:adjustRightInd w:val="0"/>
        <w:snapToGrid w:val="0"/>
        <w:spacing w:line="360" w:lineRule="auto"/>
        <w:rPr>
          <w:rFonts w:hint="eastAsia" w:ascii="仿宋_GB2312"/>
          <w:szCs w:val="32"/>
          <w:u w:val="none" w:color="auto"/>
        </w:rPr>
      </w:pPr>
    </w:p>
    <w:p>
      <w:pPr>
        <w:pStyle w:val="4"/>
        <w:bidi w:val="0"/>
        <w:spacing w:line="360" w:lineRule="auto"/>
        <w:rPr>
          <w:rFonts w:hint="eastAsia"/>
          <w:u w:val="none" w:color="auto"/>
        </w:rPr>
      </w:pPr>
      <w:r>
        <w:rPr>
          <w:rFonts w:hint="eastAsia"/>
          <w:u w:val="none" w:color="auto"/>
        </w:rPr>
        <w:t>第</w:t>
      </w:r>
      <w:r>
        <w:rPr>
          <w:rFonts w:hint="eastAsia"/>
          <w:u w:val="none" w:color="auto"/>
          <w:lang w:eastAsia="zh-CN"/>
        </w:rPr>
        <w:t>四</w:t>
      </w:r>
      <w:r>
        <w:rPr>
          <w:rFonts w:hint="eastAsia"/>
          <w:u w:val="none" w:color="auto"/>
        </w:rPr>
        <w:t>章 附则</w:t>
      </w:r>
    </w:p>
    <w:p>
      <w:pPr>
        <w:adjustRightInd w:val="0"/>
        <w:snapToGrid w:val="0"/>
        <w:spacing w:line="360" w:lineRule="auto"/>
        <w:ind w:firstLine="643" w:firstLineChars="200"/>
        <w:rPr>
          <w:rFonts w:hint="eastAsia" w:ascii="仿宋_GB2312"/>
          <w:szCs w:val="32"/>
          <w:u w:val="none" w:color="auto"/>
        </w:rPr>
      </w:pPr>
      <w:r>
        <w:rPr>
          <w:rFonts w:hint="eastAsia" w:ascii="仿宋_GB2312"/>
          <w:b/>
          <w:szCs w:val="32"/>
          <w:u w:val="none" w:color="auto"/>
        </w:rPr>
        <w:t>第十</w:t>
      </w:r>
      <w:r>
        <w:rPr>
          <w:rFonts w:hint="eastAsia" w:ascii="仿宋_GB2312"/>
          <w:b/>
          <w:szCs w:val="32"/>
          <w:u w:val="none" w:color="auto"/>
          <w:lang w:eastAsia="zh-CN"/>
        </w:rPr>
        <w:t>一</w:t>
      </w:r>
      <w:r>
        <w:rPr>
          <w:rFonts w:hint="eastAsia" w:ascii="仿宋_GB2312"/>
          <w:b/>
          <w:szCs w:val="32"/>
          <w:u w:val="none" w:color="auto"/>
        </w:rPr>
        <w:t>条</w:t>
      </w:r>
      <w:r>
        <w:rPr>
          <w:rFonts w:hint="eastAsia" w:ascii="仿宋_GB2312"/>
          <w:szCs w:val="32"/>
          <w:u w:val="none" w:color="auto"/>
        </w:rPr>
        <w:t xml:space="preserve"> 市县财政可按照财政科学化、精细化管理的要求，根据本办法并结合本地区实际情况，制定本地区的</w:t>
      </w:r>
      <w:r>
        <w:rPr>
          <w:rFonts w:hint="eastAsia" w:ascii="仿宋_GB2312"/>
          <w:szCs w:val="32"/>
          <w:u w:val="none" w:color="auto"/>
          <w:lang w:eastAsia="zh-CN"/>
        </w:rPr>
        <w:t>民族地区</w:t>
      </w:r>
      <w:r>
        <w:rPr>
          <w:rFonts w:hint="eastAsia" w:ascii="仿宋_GB2312"/>
          <w:szCs w:val="32"/>
          <w:u w:val="none" w:color="auto"/>
        </w:rPr>
        <w:t>转移支付资金管理办法，并报省财政厅备案。</w:t>
      </w:r>
    </w:p>
    <w:p>
      <w:pPr>
        <w:ind w:firstLine="643" w:firstLineChars="200"/>
        <w:rPr>
          <w:rFonts w:hint="eastAsia"/>
          <w:u w:val="none" w:color="auto"/>
          <w:lang w:val="en-US" w:eastAsia="zh-CN"/>
        </w:rPr>
      </w:pPr>
      <w:r>
        <w:rPr>
          <w:rFonts w:hint="eastAsia" w:ascii="仿宋_GB2312"/>
          <w:b/>
          <w:szCs w:val="32"/>
          <w:u w:val="none" w:color="auto"/>
        </w:rPr>
        <w:t>第十</w:t>
      </w:r>
      <w:r>
        <w:rPr>
          <w:rFonts w:hint="eastAsia" w:ascii="仿宋_GB2312"/>
          <w:b/>
          <w:szCs w:val="32"/>
          <w:u w:val="none" w:color="auto"/>
          <w:lang w:eastAsia="zh-CN"/>
        </w:rPr>
        <w:t>二</w:t>
      </w:r>
      <w:r>
        <w:rPr>
          <w:rFonts w:hint="eastAsia" w:ascii="仿宋_GB2312"/>
          <w:b/>
          <w:szCs w:val="32"/>
          <w:u w:val="none" w:color="auto"/>
        </w:rPr>
        <w:t>条</w:t>
      </w:r>
      <w:r>
        <w:rPr>
          <w:rFonts w:hint="eastAsia" w:ascii="仿宋_GB2312"/>
          <w:szCs w:val="32"/>
          <w:u w:val="none" w:color="auto"/>
        </w:rPr>
        <w:t xml:space="preserve"> </w:t>
      </w:r>
      <w:r>
        <w:rPr>
          <w:rFonts w:hint="eastAsia" w:ascii="仿宋_GB2312" w:cs="宋体"/>
          <w:bCs/>
          <w:kern w:val="0"/>
          <w:szCs w:val="32"/>
          <w:u w:val="none" w:color="auto"/>
          <w:lang w:bidi="ar-SA"/>
        </w:rPr>
        <w:t>本办法自印发之日起实施。</w:t>
      </w:r>
      <w:r>
        <w:rPr>
          <w:rFonts w:hint="eastAsia" w:ascii="仿宋_GB2312" w:cs="宋体"/>
          <w:bCs/>
          <w:kern w:val="0"/>
          <w:szCs w:val="32"/>
          <w:u w:val="none" w:color="auto"/>
          <w:lang w:eastAsia="zh-CN" w:bidi="ar-SA"/>
        </w:rPr>
        <w:t>《广东省财政厅</w:t>
      </w:r>
      <w:r>
        <w:rPr>
          <w:rFonts w:hint="eastAsia" w:ascii="仿宋_GB2312" w:cs="宋体"/>
          <w:bCs/>
          <w:kern w:val="0"/>
          <w:szCs w:val="32"/>
          <w:u w:val="none" w:color="auto"/>
          <w:lang w:bidi="ar-SA"/>
        </w:rPr>
        <w:t>关于印发</w:t>
      </w:r>
      <w:r>
        <w:rPr>
          <w:rFonts w:hint="eastAsia" w:ascii="仿宋_GB2312" w:cs="宋体"/>
          <w:bCs/>
          <w:kern w:val="0"/>
          <w:szCs w:val="32"/>
          <w:u w:val="none" w:color="auto"/>
          <w:lang w:eastAsia="zh-CN" w:bidi="ar-SA"/>
        </w:rPr>
        <w:t>〈</w:t>
      </w:r>
      <w:r>
        <w:rPr>
          <w:rFonts w:hint="eastAsia" w:ascii="仿宋_GB2312" w:cs="宋体"/>
          <w:bCs/>
          <w:kern w:val="0"/>
          <w:szCs w:val="32"/>
          <w:u w:val="none" w:color="auto"/>
          <w:lang w:bidi="ar-SA"/>
        </w:rPr>
        <w:t>广东省民族地区转移支付资金管理办法</w:t>
      </w:r>
      <w:r>
        <w:rPr>
          <w:rFonts w:hint="eastAsia" w:ascii="仿宋_GB2312" w:cs="宋体"/>
          <w:bCs/>
          <w:kern w:val="0"/>
          <w:szCs w:val="32"/>
          <w:u w:val="none" w:color="auto"/>
          <w:lang w:eastAsia="zh-CN" w:bidi="ar-SA"/>
        </w:rPr>
        <w:t>〉</w:t>
      </w:r>
      <w:r>
        <w:rPr>
          <w:rFonts w:hint="eastAsia" w:ascii="仿宋_GB2312" w:cs="宋体"/>
          <w:bCs/>
          <w:kern w:val="0"/>
          <w:szCs w:val="32"/>
          <w:u w:val="none" w:color="auto"/>
          <w:lang w:bidi="ar-SA"/>
        </w:rPr>
        <w:t>的通知</w:t>
      </w:r>
      <w:r>
        <w:rPr>
          <w:rFonts w:hint="eastAsia" w:ascii="仿宋_GB2312" w:cs="宋体"/>
          <w:bCs/>
          <w:kern w:val="0"/>
          <w:szCs w:val="32"/>
          <w:u w:val="none" w:color="auto"/>
          <w:lang w:eastAsia="zh-CN" w:bidi="ar-SA"/>
        </w:rPr>
        <w:t>》</w:t>
      </w:r>
      <w:r>
        <w:rPr>
          <w:rFonts w:hint="eastAsia" w:ascii="仿宋_GB2312" w:cs="宋体"/>
          <w:bCs/>
          <w:kern w:val="0"/>
          <w:szCs w:val="32"/>
          <w:u w:val="none" w:color="auto"/>
          <w:lang w:bidi="ar-SA"/>
        </w:rPr>
        <w:t>（粤财预〔20</w:t>
      </w:r>
      <w:r>
        <w:rPr>
          <w:rFonts w:hint="eastAsia" w:ascii="仿宋_GB2312" w:cs="宋体"/>
          <w:bCs/>
          <w:kern w:val="0"/>
          <w:szCs w:val="32"/>
          <w:u w:val="none" w:color="auto"/>
          <w:lang w:val="en-US" w:eastAsia="zh-CN" w:bidi="ar-SA"/>
        </w:rPr>
        <w:t>20</w:t>
      </w:r>
      <w:r>
        <w:rPr>
          <w:rFonts w:hint="eastAsia" w:ascii="仿宋_GB2312" w:cs="宋体"/>
          <w:bCs/>
          <w:kern w:val="0"/>
          <w:szCs w:val="32"/>
          <w:u w:val="none" w:color="auto"/>
          <w:lang w:bidi="ar-SA"/>
        </w:rPr>
        <w:t>〕</w:t>
      </w:r>
      <w:r>
        <w:rPr>
          <w:rFonts w:hint="eastAsia" w:ascii="仿宋_GB2312" w:cs="宋体"/>
          <w:bCs/>
          <w:kern w:val="0"/>
          <w:szCs w:val="32"/>
          <w:u w:val="none" w:color="auto"/>
          <w:lang w:val="en-US" w:eastAsia="zh-CN" w:bidi="ar-SA"/>
        </w:rPr>
        <w:t>66</w:t>
      </w:r>
      <w:r>
        <w:rPr>
          <w:rFonts w:hint="eastAsia" w:ascii="仿宋_GB2312" w:cs="宋体"/>
          <w:bCs/>
          <w:kern w:val="0"/>
          <w:szCs w:val="32"/>
          <w:u w:val="none" w:color="auto"/>
          <w:lang w:bidi="ar-SA"/>
        </w:rPr>
        <w:t>号）同时废止。</w:t>
      </w:r>
    </w:p>
    <w:bookmarkEnd w:id="1"/>
    <w:p>
      <w:pPr>
        <w:adjustRightInd w:val="0"/>
        <w:snapToGrid w:val="0"/>
        <w:spacing w:after="0" w:line="360" w:lineRule="auto"/>
        <w:ind w:firstLine="640" w:firstLineChars="200"/>
        <w:rPr>
          <w:u w:val="none" w:color="auto"/>
        </w:rPr>
      </w:pPr>
    </w:p>
    <w:p/>
    <w:sectPr>
      <w:footerReference r:id="rId3" w:type="default"/>
      <w:pgSz w:w="11906" w:h="16838"/>
      <w:pgMar w:top="2041" w:right="1417" w:bottom="1417" w:left="1531"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31445"/>
              <wp:effectExtent l="0" t="0" r="0" b="0"/>
              <wp:wrapNone/>
              <wp:docPr id="2" name="文本框 7"/>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5"/>
                            <w:rPr>
                              <w:rFonts w:hint="eastAsia" w:eastAsia="仿宋_GB2312"/>
                              <w:lang w:eastAsia="zh-CN"/>
                            </w:rPr>
                          </w:pPr>
                          <w:r>
                            <w:rPr>
                              <w:lang w:eastAsia="zh-CN"/>
                            </w:rPr>
                            <w:fldChar w:fldCharType="begin"/>
                          </w:r>
                          <w:r>
                            <w:rPr>
                              <w:rFonts w:hint="eastAsia"/>
                              <w:lang w:eastAsia="zh-CN"/>
                            </w:rPr>
                            <w:instrText xml:space="preserve"> PAGE  \* MERGEFORMAT </w:instrText>
                          </w:r>
                          <w:r>
                            <w:rPr>
                              <w:lang w:eastAsia="zh-CN"/>
                            </w:rPr>
                            <w:fldChar w:fldCharType="separate"/>
                          </w:r>
                          <w:r>
                            <w:rPr>
                              <w:rFonts w:hint="eastAsia"/>
                              <w:lang w:eastAsia="zh-CN"/>
                            </w:rPr>
                            <w:t>1</w:t>
                          </w:r>
                          <w:r>
                            <w:rPr>
                              <w:lang w:eastAsia="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0.35pt;width:4.5pt;mso-position-horizontal:center;mso-position-horizontal-relative:margin;mso-wrap-style:none;z-index:251660288;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kFEqzwAAAAIBAAAPAAAAAAAAAAEAIAAAACIAAABkcnMvZG93bnJl&#10;di54bWxQSwECFAAUAAAACACHTuJAKbvJnc0BAACWAwAADgAAAAAAAAABACAAAAAeAQAAZHJzL2Uy&#10;b0RvYy54bWxQSwUGAAAAAAYABgBZAQAAXQUAAAAA&#10;">
              <v:fill on="f" focussize="0,0"/>
              <v:stroke on="f"/>
              <v:imagedata o:title=""/>
              <o:lock v:ext="edit" aspectratio="f"/>
              <v:textbox inset="0mm,0mm,0mm,0mm" style="mso-fit-shape-to-text:t;">
                <w:txbxContent>
                  <w:p>
                    <w:pPr>
                      <w:pStyle w:val="5"/>
                      <w:rPr>
                        <w:rFonts w:hint="eastAsia" w:eastAsia="仿宋_GB2312"/>
                        <w:lang w:eastAsia="zh-CN"/>
                      </w:rPr>
                    </w:pPr>
                    <w:r>
                      <w:rPr>
                        <w:lang w:eastAsia="zh-CN"/>
                      </w:rPr>
                      <w:fldChar w:fldCharType="begin"/>
                    </w:r>
                    <w:r>
                      <w:rPr>
                        <w:rFonts w:hint="eastAsia"/>
                        <w:lang w:eastAsia="zh-CN"/>
                      </w:rPr>
                      <w:instrText xml:space="preserve"> PAGE  \* MERGEFORMAT </w:instrText>
                    </w:r>
                    <w:r>
                      <w:rPr>
                        <w:lang w:eastAsia="zh-CN"/>
                      </w:rPr>
                      <w:fldChar w:fldCharType="separate"/>
                    </w:r>
                    <w:r>
                      <w:rPr>
                        <w:rFonts w:hint="eastAsia"/>
                        <w:lang w:eastAsia="zh-CN"/>
                      </w:rPr>
                      <w:t>1</w:t>
                    </w:r>
                    <w:r>
                      <w:rPr>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52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9525" cy="131445"/>
                      </a:xfrm>
                      <a:prstGeom prst="rect">
                        <a:avLst/>
                      </a:prstGeom>
                      <a:noFill/>
                      <a:ln>
                        <a:noFill/>
                      </a:ln>
                    </wps:spPr>
                    <wps:txbx>
                      <w:txbxContent>
                        <w:p>
                          <w:pPr>
                            <w:pStyle w:val="5"/>
                            <w:rPr>
                              <w:rFonts w:hint="eastAsia" w:eastAsia="仿宋_GB2312"/>
                              <w:lang w:eastAsia="zh-CN"/>
                            </w:rPr>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0.75pt;mso-position-horizontal:right;mso-position-horizontal-relative:margin;mso-wrap-style:none;z-index:251659264;mso-width-relative:page;mso-height-relative:page;" filled="f" stroked="f" coordsize="21600,21600" o:gfxdata="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IIMyjQAAAAAgEAAA8AAAAAAAAAAQAgAAAAIgAAAGRycy9kb3ducmV2&#10;LnhtbFBLAQIUABQAAAAIAIdO4kAwNseHywEAAJUDAAAOAAAAAAAAAAEAIAAAAB8BAABkcnMvZTJv&#10;RG9jLnhtbFBLBQYAAAAABgAGAFkBAABcBQAAAAA=&#10;">
              <v:fill on="f" focussize="0,0"/>
              <v:stroke on="f"/>
              <v:imagedata o:title=""/>
              <o:lock v:ext="edit" aspectratio="f"/>
              <v:textbox inset="0mm,0mm,0mm,0mm" style="mso-fit-shape-to-text:t;">
                <w:txbxContent>
                  <w:p>
                    <w:pPr>
                      <w:pStyle w:val="5"/>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ff5da26f-aefa-4c79-90f8-5a6a7f589a5d&amp;fileid=2122895&amp;type=document&amp;isofficeview=0"/>
  </w:docVars>
  <w:rsids>
    <w:rsidRoot w:val="3AA439EE"/>
    <w:rsid w:val="0545029B"/>
    <w:rsid w:val="07D04ED9"/>
    <w:rsid w:val="07EF4368"/>
    <w:rsid w:val="09EA1381"/>
    <w:rsid w:val="13FF26B6"/>
    <w:rsid w:val="1D5C170C"/>
    <w:rsid w:val="30826E6D"/>
    <w:rsid w:val="3AA439EE"/>
    <w:rsid w:val="41187E96"/>
    <w:rsid w:val="575850CF"/>
    <w:rsid w:val="58805F97"/>
    <w:rsid w:val="5D4E34E1"/>
    <w:rsid w:val="615274A5"/>
    <w:rsid w:val="691933C7"/>
    <w:rsid w:val="6A442A90"/>
    <w:rsid w:val="736D2D03"/>
    <w:rsid w:val="74CE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adjustRightInd w:val="0"/>
      <w:snapToGrid w:val="0"/>
      <w:spacing w:before="0" w:beforeAutospacing="0" w:after="0" w:afterAutospacing="0" w:line="360" w:lineRule="auto"/>
      <w:jc w:val="center"/>
      <w:outlineLvl w:val="0"/>
    </w:pPr>
    <w:rPr>
      <w:rFonts w:ascii="Times New Roman" w:hAnsi="Times New Roman" w:eastAsia="方正小标宋简体"/>
      <w:kern w:val="44"/>
      <w:sz w:val="44"/>
    </w:rPr>
  </w:style>
  <w:style w:type="paragraph" w:styleId="4">
    <w:name w:val="heading 2"/>
    <w:basedOn w:val="1"/>
    <w:next w:val="1"/>
    <w:qFormat/>
    <w:uiPriority w:val="0"/>
    <w:pPr>
      <w:keepNext/>
      <w:keepLines/>
      <w:widowControl w:val="0"/>
      <w:adjustRightInd w:val="0"/>
      <w:snapToGrid w:val="0"/>
      <w:spacing w:before="0" w:beforeAutospacing="0" w:after="0" w:afterAutospacing="0" w:line="360" w:lineRule="auto"/>
      <w:jc w:val="center"/>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1364</Words>
  <Characters>1411</Characters>
  <Lines>0</Lines>
  <Paragraphs>0</Paragraphs>
  <TotalTime>2</TotalTime>
  <ScaleCrop>false</ScaleCrop>
  <LinksUpToDate>false</LinksUpToDate>
  <CharactersWithSpaces>1428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2023-01-20T07:50:00Z</dcterms:created>
  <dc:creator>陈正柏</dc:creator>
  <cp:lastModifiedBy>LJQ</cp:lastModifiedBy>
  <dcterms:modified xsi:type="dcterms:W3CDTF">2023-02-07T08:47:57Z</dcterms:modified>
  <dc:title>广东省民族地区转移支付资金管理办法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FD1D3AF550C54B60811162BCC0DB2C69</vt:lpwstr>
  </property>
</Properties>
</file>