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val="0"/>
        <w:kinsoku/>
        <w:wordWrap/>
        <w:overflowPunct/>
        <w:topLinePunct w:val="0"/>
        <w:autoSpaceDE/>
        <w:autoSpaceDN/>
        <w:bidi w:val="0"/>
        <w:adjustRightInd w:val="0"/>
        <w:snapToGrid w:val="0"/>
        <w:spacing w:after="0" w:line="288" w:lineRule="auto"/>
        <w:jc w:val="center"/>
        <w:textAlignment w:val="auto"/>
        <w:rPr>
          <w:rFonts w:hint="eastAsia"/>
          <w:u w:val="none" w:color="auto"/>
        </w:rPr>
      </w:pPr>
      <w:bookmarkStart w:id="4" w:name="_GoBack"/>
      <w:bookmarkEnd w:id="4"/>
      <w:bookmarkStart w:id="0" w:name="_Toc11855"/>
      <w:bookmarkStart w:id="1" w:name="_Toc23606"/>
      <w:r>
        <w:rPr>
          <w:rFonts w:hint="eastAsia"/>
          <w:u w:val="none" w:color="auto"/>
        </w:rPr>
        <w:t>广东省资源枯竭城市</w:t>
      </w:r>
      <w:bookmarkEnd w:id="0"/>
      <w:bookmarkStart w:id="2" w:name="_Toc32025"/>
      <w:r>
        <w:rPr>
          <w:rFonts w:hint="eastAsia"/>
          <w:u w:val="none" w:color="auto"/>
        </w:rPr>
        <w:t>转移支付</w:t>
      </w:r>
      <w:bookmarkEnd w:id="1"/>
      <w:bookmarkStart w:id="3" w:name="_Toc17694"/>
      <w:r>
        <w:rPr>
          <w:rFonts w:hint="eastAsia"/>
          <w:u w:val="none" w:color="auto"/>
        </w:rPr>
        <w:t>资金管理办法</w:t>
      </w:r>
      <w:bookmarkEnd w:id="3"/>
    </w:p>
    <w:p>
      <w:pPr>
        <w:pStyle w:val="3"/>
        <w:pageBreakBefore w:val="0"/>
        <w:widowControl w:val="0"/>
        <w:kinsoku/>
        <w:wordWrap/>
        <w:overflowPunct/>
        <w:topLinePunct w:val="0"/>
        <w:autoSpaceDE/>
        <w:autoSpaceDN/>
        <w:bidi w:val="0"/>
        <w:adjustRightInd w:val="0"/>
        <w:snapToGrid w:val="0"/>
        <w:spacing w:after="0" w:line="288" w:lineRule="auto"/>
        <w:jc w:val="center"/>
        <w:textAlignment w:val="auto"/>
        <w:rPr>
          <w:rFonts w:hint="eastAsia" w:ascii="楷体_GB2312" w:hAnsi="楷体_GB2312" w:eastAsia="楷体_GB2312" w:cs="楷体_GB2312"/>
          <w:sz w:val="32"/>
          <w:szCs w:val="32"/>
          <w:u w:val="none" w:color="auto"/>
        </w:rPr>
      </w:pPr>
      <w:r>
        <w:rPr>
          <w:rFonts w:hint="eastAsia" w:ascii="楷体_GB2312" w:hAnsi="楷体_GB2312" w:eastAsia="楷体_GB2312" w:cs="楷体_GB2312"/>
          <w:sz w:val="32"/>
          <w:szCs w:val="32"/>
          <w:u w:val="none" w:color="auto"/>
          <w:lang w:eastAsia="zh-CN"/>
        </w:rPr>
        <w:t>（</w:t>
      </w:r>
      <w:r>
        <w:rPr>
          <w:rFonts w:hint="eastAsia" w:ascii="楷体_GB2312" w:hAnsi="楷体_GB2312" w:eastAsia="楷体_GB2312" w:cs="楷体_GB2312"/>
          <w:sz w:val="32"/>
          <w:szCs w:val="32"/>
          <w:u w:val="none" w:color="auto"/>
          <w:lang w:val="en-US" w:eastAsia="zh-CN"/>
        </w:rPr>
        <w:t>2023年修订</w:t>
      </w:r>
      <w:r>
        <w:rPr>
          <w:rFonts w:hint="eastAsia" w:ascii="楷体_GB2312" w:hAnsi="楷体_GB2312" w:eastAsia="楷体_GB2312" w:cs="楷体_GB2312"/>
          <w:sz w:val="32"/>
          <w:szCs w:val="32"/>
          <w:u w:val="none" w:color="auto"/>
          <w:lang w:eastAsia="zh-CN"/>
        </w:rPr>
        <w:t>）</w:t>
      </w:r>
    </w:p>
    <w:bookmarkEnd w:id="2"/>
    <w:p>
      <w:pPr>
        <w:pStyle w:val="3"/>
        <w:pageBreakBefore w:val="0"/>
        <w:widowControl w:val="0"/>
        <w:kinsoku/>
        <w:wordWrap/>
        <w:overflowPunct/>
        <w:topLinePunct w:val="0"/>
        <w:autoSpaceDE/>
        <w:autoSpaceDN/>
        <w:bidi w:val="0"/>
        <w:adjustRightInd w:val="0"/>
        <w:snapToGrid w:val="0"/>
        <w:spacing w:after="0" w:line="288" w:lineRule="auto"/>
        <w:textAlignment w:val="auto"/>
        <w:outlineLvl w:val="9"/>
        <w:rPr>
          <w:rFonts w:hint="eastAsia"/>
          <w:sz w:val="40"/>
          <w:szCs w:val="22"/>
          <w:u w:val="none" w:color="auto"/>
        </w:rPr>
      </w:pPr>
    </w:p>
    <w:p>
      <w:pPr>
        <w:pStyle w:val="4"/>
        <w:pageBreakBefore w:val="0"/>
        <w:widowControl w:val="0"/>
        <w:kinsoku/>
        <w:wordWrap/>
        <w:overflowPunct/>
        <w:topLinePunct w:val="0"/>
        <w:autoSpaceDE/>
        <w:autoSpaceDN/>
        <w:bidi w:val="0"/>
        <w:adjustRightInd w:val="0"/>
        <w:snapToGrid w:val="0"/>
        <w:spacing w:after="0" w:line="356" w:lineRule="auto"/>
        <w:jc w:val="center"/>
        <w:textAlignment w:val="auto"/>
        <w:rPr>
          <w:u w:val="none" w:color="auto"/>
        </w:rPr>
      </w:pPr>
      <w:r>
        <w:rPr>
          <w:rFonts w:hint="eastAsia"/>
          <w:u w:val="none" w:color="auto"/>
        </w:rPr>
        <w:t>第一章</w:t>
      </w:r>
      <w:r>
        <w:rPr>
          <w:rFonts w:hint="eastAsia"/>
          <w:u w:val="none" w:color="auto"/>
          <w:lang w:eastAsia="zh-CN"/>
        </w:rPr>
        <w:t xml:space="preserve">  </w:t>
      </w:r>
      <w:r>
        <w:rPr>
          <w:rFonts w:hint="eastAsia"/>
          <w:u w:val="none" w:color="auto"/>
        </w:rPr>
        <w:t>总则</w:t>
      </w:r>
    </w:p>
    <w:p>
      <w:pPr>
        <w:pageBreakBefore w:val="0"/>
        <w:widowControl w:val="0"/>
        <w:kinsoku/>
        <w:wordWrap/>
        <w:overflowPunct/>
        <w:topLinePunct w:val="0"/>
        <w:autoSpaceDE/>
        <w:autoSpaceDN/>
        <w:bidi w:val="0"/>
        <w:adjustRightInd w:val="0"/>
        <w:snapToGrid w:val="0"/>
        <w:spacing w:line="356" w:lineRule="auto"/>
        <w:ind w:firstLine="643" w:firstLineChars="200"/>
        <w:textAlignment w:val="auto"/>
        <w:rPr>
          <w:rFonts w:hint="eastAsia" w:ascii="仿宋_GB2312" w:eastAsia="仿宋_GB2312"/>
          <w:sz w:val="32"/>
          <w:szCs w:val="32"/>
          <w:highlight w:val="none"/>
          <w:u w:val="none" w:color="auto"/>
        </w:rPr>
      </w:pPr>
      <w:r>
        <w:rPr>
          <w:rFonts w:hint="eastAsia" w:ascii="仿宋_GB2312" w:eastAsia="仿宋_GB2312"/>
          <w:b/>
          <w:sz w:val="32"/>
          <w:szCs w:val="32"/>
          <w:u w:val="none" w:color="auto"/>
        </w:rPr>
        <w:t>第一条</w:t>
      </w:r>
      <w:r>
        <w:rPr>
          <w:rFonts w:hint="eastAsia" w:ascii="仿宋_GB2312" w:eastAsia="仿宋_GB2312"/>
          <w:sz w:val="32"/>
          <w:szCs w:val="32"/>
          <w:u w:val="none" w:color="auto"/>
          <w:lang w:eastAsia="zh-CN"/>
        </w:rPr>
        <w:t xml:space="preserve">  </w:t>
      </w:r>
      <w:r>
        <w:rPr>
          <w:rFonts w:hint="eastAsia" w:ascii="仿宋_GB2312" w:eastAsia="仿宋_GB2312"/>
          <w:sz w:val="32"/>
          <w:szCs w:val="32"/>
          <w:u w:val="none" w:color="auto"/>
        </w:rPr>
        <w:t>为</w:t>
      </w:r>
      <w:r>
        <w:rPr>
          <w:rFonts w:hint="eastAsia" w:ascii="仿宋_GB2312"/>
          <w:sz w:val="32"/>
          <w:szCs w:val="32"/>
          <w:highlight w:val="none"/>
          <w:u w:val="none" w:color="auto"/>
          <w:lang w:eastAsia="zh-CN"/>
        </w:rPr>
        <w:t>支持</w:t>
      </w:r>
      <w:r>
        <w:rPr>
          <w:rFonts w:hint="eastAsia" w:ascii="仿宋_GB2312" w:eastAsia="仿宋_GB2312"/>
          <w:sz w:val="32"/>
          <w:szCs w:val="32"/>
          <w:highlight w:val="none"/>
          <w:u w:val="none" w:color="auto"/>
        </w:rPr>
        <w:t>资源枯竭城市</w:t>
      </w:r>
      <w:r>
        <w:rPr>
          <w:rFonts w:hint="eastAsia" w:ascii="仿宋_GB2312"/>
          <w:sz w:val="32"/>
          <w:szCs w:val="32"/>
          <w:highlight w:val="none"/>
          <w:u w:val="none" w:color="auto"/>
          <w:lang w:eastAsia="zh-CN"/>
        </w:rPr>
        <w:t>、独立工矿区和采煤沉陷区等地区解决历史遗留问题，促进</w:t>
      </w:r>
      <w:r>
        <w:rPr>
          <w:rFonts w:hint="eastAsia" w:ascii="仿宋_GB2312" w:eastAsia="仿宋_GB2312"/>
          <w:sz w:val="32"/>
          <w:szCs w:val="32"/>
          <w:highlight w:val="none"/>
          <w:u w:val="none" w:color="auto"/>
        </w:rPr>
        <w:t>转型</w:t>
      </w:r>
      <w:r>
        <w:rPr>
          <w:rFonts w:hint="eastAsia" w:ascii="仿宋_GB2312"/>
          <w:sz w:val="32"/>
          <w:szCs w:val="32"/>
          <w:highlight w:val="none"/>
          <w:u w:val="none" w:color="auto"/>
          <w:lang w:eastAsia="zh-CN"/>
        </w:rPr>
        <w:t>发展</w:t>
      </w:r>
      <w:r>
        <w:rPr>
          <w:rFonts w:hint="eastAsia" w:ascii="仿宋_GB2312" w:eastAsia="仿宋_GB2312"/>
          <w:sz w:val="32"/>
          <w:szCs w:val="32"/>
          <w:highlight w:val="none"/>
          <w:u w:val="none" w:color="auto"/>
        </w:rPr>
        <w:t>，增强基本公共服务保障能力，进一步规范资源枯竭城市转移支付资金管理，提高资金使用效益，根据《国务院关于促进资源型城市可持续发展的若干意见》（国发〔2007〕38号）和《财政部关于印发〈中央对地方</w:t>
      </w:r>
      <w:r>
        <w:rPr>
          <w:rFonts w:hint="eastAsia" w:ascii="仿宋_GB2312"/>
          <w:sz w:val="32"/>
          <w:szCs w:val="32"/>
          <w:highlight w:val="none"/>
          <w:u w:val="none" w:color="auto"/>
          <w:lang w:eastAsia="zh-CN"/>
        </w:rPr>
        <w:t>资源枯竭城市转移支付办法</w:t>
      </w:r>
      <w:r>
        <w:rPr>
          <w:rFonts w:hint="eastAsia" w:ascii="仿宋_GB2312" w:eastAsia="仿宋_GB2312"/>
          <w:sz w:val="32"/>
          <w:szCs w:val="32"/>
          <w:highlight w:val="none"/>
          <w:u w:val="none" w:color="auto"/>
        </w:rPr>
        <w:t>〉的通知》（财预〔20</w:t>
      </w:r>
      <w:r>
        <w:rPr>
          <w:rFonts w:hint="eastAsia" w:ascii="仿宋_GB2312"/>
          <w:sz w:val="32"/>
          <w:szCs w:val="32"/>
          <w:highlight w:val="none"/>
          <w:u w:val="none" w:color="auto"/>
          <w:lang w:val="en-US" w:eastAsia="zh-CN"/>
        </w:rPr>
        <w:t>22</w:t>
      </w:r>
      <w:r>
        <w:rPr>
          <w:rFonts w:hint="eastAsia" w:ascii="仿宋_GB2312" w:eastAsia="仿宋_GB2312"/>
          <w:sz w:val="32"/>
          <w:szCs w:val="32"/>
          <w:highlight w:val="none"/>
          <w:u w:val="none" w:color="auto"/>
        </w:rPr>
        <w:t>〕</w:t>
      </w:r>
      <w:r>
        <w:rPr>
          <w:rFonts w:hint="eastAsia" w:ascii="仿宋_GB2312"/>
          <w:sz w:val="32"/>
          <w:szCs w:val="32"/>
          <w:highlight w:val="none"/>
          <w:u w:val="none" w:color="auto"/>
          <w:lang w:val="en-US" w:eastAsia="zh-CN"/>
        </w:rPr>
        <w:t>55</w:t>
      </w:r>
      <w:r>
        <w:rPr>
          <w:rFonts w:hint="eastAsia" w:ascii="仿宋_GB2312" w:eastAsia="仿宋_GB2312"/>
          <w:sz w:val="32"/>
          <w:szCs w:val="32"/>
          <w:highlight w:val="none"/>
          <w:u w:val="none" w:color="auto"/>
        </w:rPr>
        <w:t>号），制定本办法。</w:t>
      </w:r>
    </w:p>
    <w:p>
      <w:pPr>
        <w:pageBreakBefore w:val="0"/>
        <w:widowControl w:val="0"/>
        <w:kinsoku/>
        <w:wordWrap/>
        <w:overflowPunct/>
        <w:topLinePunct w:val="0"/>
        <w:autoSpaceDE/>
        <w:autoSpaceDN/>
        <w:bidi w:val="0"/>
        <w:adjustRightInd w:val="0"/>
        <w:snapToGrid w:val="0"/>
        <w:spacing w:line="356" w:lineRule="auto"/>
        <w:ind w:firstLine="643" w:firstLineChars="200"/>
        <w:textAlignment w:val="auto"/>
        <w:rPr>
          <w:rFonts w:hint="eastAsia" w:ascii="仿宋_GB2312" w:eastAsia="仿宋_GB2312"/>
          <w:sz w:val="32"/>
          <w:szCs w:val="32"/>
          <w:highlight w:val="none"/>
          <w:u w:val="none" w:color="auto"/>
        </w:rPr>
      </w:pPr>
      <w:r>
        <w:rPr>
          <w:rFonts w:hint="eastAsia" w:ascii="仿宋_GB2312" w:eastAsia="仿宋_GB2312"/>
          <w:b/>
          <w:sz w:val="32"/>
          <w:szCs w:val="32"/>
          <w:highlight w:val="none"/>
          <w:u w:val="none" w:color="auto"/>
        </w:rPr>
        <w:t>第二条</w:t>
      </w:r>
      <w:r>
        <w:rPr>
          <w:rFonts w:hint="eastAsia" w:ascii="仿宋_GB2312" w:eastAsia="仿宋_GB2312"/>
          <w:sz w:val="32"/>
          <w:szCs w:val="32"/>
          <w:highlight w:val="none"/>
          <w:u w:val="none" w:color="auto"/>
          <w:lang w:eastAsia="zh-CN"/>
        </w:rPr>
        <w:t xml:space="preserve">  </w:t>
      </w:r>
      <w:r>
        <w:rPr>
          <w:rFonts w:hint="eastAsia" w:ascii="仿宋_GB2312" w:eastAsia="仿宋_GB2312"/>
          <w:sz w:val="32"/>
          <w:szCs w:val="32"/>
          <w:highlight w:val="none"/>
          <w:u w:val="none" w:color="auto"/>
        </w:rPr>
        <w:t>本办法所称资源枯竭城市转移支付资金，是由中央财政设立，</w:t>
      </w:r>
      <w:r>
        <w:rPr>
          <w:rFonts w:hint="eastAsia" w:ascii="仿宋_GB2312" w:eastAsia="仿宋_GB2312"/>
          <w:sz w:val="32"/>
          <w:szCs w:val="32"/>
          <w:highlight w:val="none"/>
          <w:u w:val="none" w:color="auto"/>
          <w:lang w:eastAsia="zh-CN"/>
        </w:rPr>
        <w:t>主要</w:t>
      </w:r>
      <w:r>
        <w:rPr>
          <w:rFonts w:hint="eastAsia" w:ascii="仿宋_GB2312" w:eastAsia="仿宋_GB2312"/>
          <w:sz w:val="32"/>
          <w:szCs w:val="32"/>
          <w:highlight w:val="none"/>
          <w:u w:val="none" w:color="auto"/>
        </w:rPr>
        <w:t>用于解决</w:t>
      </w:r>
      <w:r>
        <w:rPr>
          <w:rFonts w:hint="eastAsia" w:ascii="仿宋_GB2312" w:eastAsia="仿宋_GB2312" w:cs="Times New Roman"/>
          <w:sz w:val="32"/>
          <w:szCs w:val="32"/>
          <w:highlight w:val="none"/>
          <w:u w:val="none" w:color="auto"/>
          <w:lang w:val="en-US" w:eastAsia="zh-CN" w:bidi="ar-SA"/>
        </w:rPr>
        <w:t>本地因资源开发产生的历史遗留问题</w:t>
      </w:r>
      <w:r>
        <w:rPr>
          <w:rFonts w:hint="eastAsia" w:ascii="仿宋_GB2312" w:cs="Times New Roman"/>
          <w:sz w:val="32"/>
          <w:szCs w:val="32"/>
          <w:highlight w:val="none"/>
          <w:u w:val="none" w:color="auto"/>
          <w:lang w:val="en-US" w:eastAsia="zh-CN" w:bidi="ar-SA"/>
        </w:rPr>
        <w:t>和化解民生政策欠账，推动传统产业转型升级，不得用于政府性楼堂馆所等中央明令禁止的项目支出</w:t>
      </w:r>
      <w:r>
        <w:rPr>
          <w:rFonts w:hint="eastAsia" w:ascii="仿宋_GB2312" w:eastAsia="仿宋_GB2312"/>
          <w:sz w:val="32"/>
          <w:szCs w:val="32"/>
          <w:highlight w:val="none"/>
          <w:u w:val="none" w:color="auto"/>
        </w:rPr>
        <w:t>。</w:t>
      </w:r>
    </w:p>
    <w:p>
      <w:pPr>
        <w:pageBreakBefore w:val="0"/>
        <w:widowControl w:val="0"/>
        <w:kinsoku/>
        <w:wordWrap/>
        <w:overflowPunct/>
        <w:topLinePunct w:val="0"/>
        <w:autoSpaceDE/>
        <w:autoSpaceDN/>
        <w:bidi w:val="0"/>
        <w:adjustRightInd w:val="0"/>
        <w:snapToGrid w:val="0"/>
        <w:spacing w:line="356" w:lineRule="auto"/>
        <w:ind w:firstLine="643" w:firstLineChars="200"/>
        <w:textAlignment w:val="auto"/>
        <w:rPr>
          <w:rFonts w:hint="eastAsia" w:ascii="仿宋_GB2312" w:eastAsia="仿宋_GB2312"/>
          <w:sz w:val="32"/>
          <w:szCs w:val="32"/>
          <w:u w:val="none" w:color="auto"/>
        </w:rPr>
      </w:pPr>
      <w:r>
        <w:rPr>
          <w:rFonts w:hint="eastAsia" w:ascii="仿宋_GB2312" w:eastAsia="仿宋_GB2312"/>
          <w:b/>
          <w:sz w:val="32"/>
          <w:szCs w:val="32"/>
          <w:highlight w:val="none"/>
          <w:u w:val="none" w:color="auto"/>
        </w:rPr>
        <w:t>第三条</w:t>
      </w:r>
      <w:r>
        <w:rPr>
          <w:rFonts w:hint="eastAsia" w:ascii="仿宋_GB2312" w:eastAsia="仿宋_GB2312"/>
          <w:sz w:val="32"/>
          <w:szCs w:val="32"/>
          <w:highlight w:val="none"/>
          <w:u w:val="none" w:color="auto"/>
          <w:lang w:eastAsia="zh-CN"/>
        </w:rPr>
        <w:t xml:space="preserve">  </w:t>
      </w:r>
      <w:r>
        <w:rPr>
          <w:rFonts w:hint="eastAsia" w:ascii="仿宋_GB2312" w:cs="宋体"/>
          <w:bCs/>
          <w:kern w:val="0"/>
          <w:szCs w:val="32"/>
          <w:highlight w:val="none"/>
          <w:u w:val="none" w:color="auto"/>
          <w:lang w:val="en-US" w:eastAsia="zh-CN" w:bidi="ar-SA"/>
        </w:rPr>
        <w:t>资源枯竭城市转移支付资</w:t>
      </w:r>
      <w:r>
        <w:rPr>
          <w:rFonts w:hint="eastAsia" w:ascii="仿宋_GB2312" w:cs="宋体"/>
          <w:bCs/>
          <w:kern w:val="0"/>
          <w:szCs w:val="32"/>
          <w:u w:val="none" w:color="auto"/>
          <w:lang w:val="en-US" w:eastAsia="zh-CN" w:bidi="ar-SA"/>
        </w:rPr>
        <w:t>金包括：资源枯竭城市补助、独立工矿区和采煤沉陷区补助、矿业权退出和环境整治补助、绩效考评奖惩。资源枯竭城市补助地区为经国家认定的资源枯竭城市，独立工矿区和采煤沉陷区补助地区为辖区内</w:t>
      </w:r>
      <w:r>
        <w:rPr>
          <w:rFonts w:hint="eastAsia" w:ascii="仿宋_GB2312" w:cs="宋体"/>
          <w:bCs/>
          <w:color w:val="000000" w:themeColor="text1"/>
          <w:kern w:val="0"/>
          <w:szCs w:val="32"/>
          <w:u w:val="none" w:color="auto"/>
          <w:lang w:val="en-US" w:eastAsia="zh-CN" w:bidi="ar-SA"/>
          <w14:textFill>
            <w14:solidFill>
              <w14:schemeClr w14:val="tx1"/>
            </w14:solidFill>
          </w14:textFill>
        </w:rPr>
        <w:t>有经</w:t>
      </w:r>
      <w:r>
        <w:rPr>
          <w:rFonts w:hint="eastAsia" w:ascii="仿宋_GB2312" w:cs="宋体"/>
          <w:bCs/>
          <w:color w:val="000000" w:themeColor="text1"/>
          <w:kern w:val="0"/>
          <w:szCs w:val="32"/>
          <w:highlight w:val="none"/>
          <w:u w:val="none" w:color="auto"/>
          <w:lang w:val="en-US" w:eastAsia="zh-CN" w:bidi="ar-SA"/>
          <w14:textFill>
            <w14:solidFill>
              <w14:schemeClr w14:val="tx1"/>
            </w14:solidFill>
          </w14:textFill>
        </w:rPr>
        <w:t>国家认定的独立工矿区和采煤沉陷区的地区，矿业权退</w:t>
      </w:r>
      <w:r>
        <w:rPr>
          <w:rFonts w:hint="eastAsia" w:ascii="仿宋_GB2312" w:cs="宋体"/>
          <w:bCs/>
          <w:kern w:val="0"/>
          <w:szCs w:val="32"/>
          <w:u w:val="none" w:color="auto"/>
          <w:lang w:val="en-US" w:eastAsia="zh-CN" w:bidi="ar-SA"/>
        </w:rPr>
        <w:t>出和生态环境综合整治补助地区为国家认定地区。以上补助项目以财政部每年实际下达资金为准。</w:t>
      </w:r>
    </w:p>
    <w:p>
      <w:pPr>
        <w:pageBreakBefore w:val="0"/>
        <w:widowControl w:val="0"/>
        <w:kinsoku/>
        <w:wordWrap/>
        <w:overflowPunct/>
        <w:topLinePunct w:val="0"/>
        <w:autoSpaceDE/>
        <w:autoSpaceDN/>
        <w:bidi w:val="0"/>
        <w:adjustRightInd w:val="0"/>
        <w:snapToGrid w:val="0"/>
        <w:spacing w:line="356" w:lineRule="auto"/>
        <w:ind w:firstLine="643" w:firstLineChars="200"/>
        <w:textAlignment w:val="auto"/>
        <w:rPr>
          <w:rFonts w:hint="eastAsia" w:ascii="仿宋_GB2312" w:eastAsia="仿宋_GB2312"/>
          <w:sz w:val="32"/>
          <w:szCs w:val="32"/>
          <w:u w:val="none" w:color="auto"/>
        </w:rPr>
      </w:pPr>
      <w:r>
        <w:rPr>
          <w:rFonts w:hint="eastAsia" w:ascii="仿宋_GB2312" w:eastAsia="仿宋_GB2312"/>
          <w:b/>
          <w:sz w:val="32"/>
          <w:szCs w:val="32"/>
          <w:u w:val="none" w:color="auto"/>
        </w:rPr>
        <w:t>第四条</w:t>
      </w:r>
      <w:r>
        <w:rPr>
          <w:rFonts w:hint="eastAsia" w:ascii="仿宋_GB2312" w:eastAsia="仿宋_GB2312"/>
          <w:sz w:val="32"/>
          <w:szCs w:val="32"/>
          <w:u w:val="none" w:color="auto"/>
          <w:lang w:eastAsia="zh-CN"/>
        </w:rPr>
        <w:t xml:space="preserve">  </w:t>
      </w:r>
      <w:r>
        <w:rPr>
          <w:rFonts w:hint="eastAsia" w:ascii="仿宋_GB2312" w:eastAsia="仿宋_GB2312"/>
          <w:sz w:val="32"/>
          <w:szCs w:val="32"/>
          <w:u w:val="none" w:color="auto"/>
        </w:rPr>
        <w:t>资金分配遵循以下原则：</w:t>
      </w:r>
    </w:p>
    <w:p>
      <w:pPr>
        <w:pageBreakBefore w:val="0"/>
        <w:widowControl w:val="0"/>
        <w:kinsoku/>
        <w:wordWrap/>
        <w:overflowPunct/>
        <w:topLinePunct w:val="0"/>
        <w:autoSpaceDE/>
        <w:autoSpaceDN/>
        <w:bidi w:val="0"/>
        <w:adjustRightInd w:val="0"/>
        <w:snapToGrid w:val="0"/>
        <w:spacing w:line="356" w:lineRule="auto"/>
        <w:ind w:firstLine="640" w:firstLineChars="200"/>
        <w:textAlignment w:val="auto"/>
        <w:rPr>
          <w:rFonts w:hint="eastAsia" w:ascii="仿宋_GB2312" w:eastAsia="仿宋_GB2312"/>
          <w:sz w:val="32"/>
          <w:szCs w:val="32"/>
          <w:highlight w:val="none"/>
          <w:u w:val="none" w:color="auto"/>
        </w:rPr>
      </w:pPr>
      <w:r>
        <w:rPr>
          <w:rFonts w:hint="eastAsia" w:ascii="仿宋_GB2312" w:eastAsia="仿宋_GB2312"/>
          <w:sz w:val="32"/>
          <w:szCs w:val="32"/>
          <w:u w:val="none" w:color="auto"/>
        </w:rPr>
        <w:t>（一）客观公正。选取客观因素，采用统一规范的方式进行分配。</w:t>
      </w:r>
    </w:p>
    <w:p>
      <w:pPr>
        <w:pageBreakBefore w:val="0"/>
        <w:widowControl w:val="0"/>
        <w:kinsoku/>
        <w:wordWrap/>
        <w:overflowPunct/>
        <w:topLinePunct w:val="0"/>
        <w:autoSpaceDE/>
        <w:autoSpaceDN/>
        <w:bidi w:val="0"/>
        <w:adjustRightInd w:val="0"/>
        <w:snapToGrid w:val="0"/>
        <w:spacing w:line="356" w:lineRule="auto"/>
        <w:ind w:firstLine="640" w:firstLineChars="200"/>
        <w:textAlignment w:val="auto"/>
        <w:rPr>
          <w:rFonts w:hint="eastAsia" w:ascii="仿宋_GB2312" w:eastAsia="仿宋_GB2312"/>
          <w:sz w:val="32"/>
          <w:szCs w:val="32"/>
          <w:highlight w:val="none"/>
          <w:u w:val="none" w:color="auto"/>
        </w:rPr>
      </w:pPr>
      <w:r>
        <w:rPr>
          <w:rFonts w:hint="eastAsia" w:ascii="仿宋_GB2312" w:eastAsia="仿宋_GB2312"/>
          <w:sz w:val="32"/>
          <w:szCs w:val="32"/>
          <w:highlight w:val="none"/>
          <w:u w:val="none" w:color="auto"/>
        </w:rPr>
        <w:t>（二）分类补助。</w:t>
      </w:r>
      <w:r>
        <w:rPr>
          <w:rFonts w:hint="eastAsia" w:ascii="仿宋_GB2312"/>
          <w:sz w:val="32"/>
          <w:szCs w:val="32"/>
          <w:highlight w:val="none"/>
          <w:u w:val="none" w:color="auto"/>
          <w:lang w:eastAsia="zh-CN"/>
        </w:rPr>
        <w:t>突出重点，分类对</w:t>
      </w:r>
      <w:r>
        <w:rPr>
          <w:rFonts w:hint="eastAsia" w:ascii="仿宋_GB2312" w:eastAsia="仿宋_GB2312"/>
          <w:sz w:val="32"/>
          <w:szCs w:val="32"/>
          <w:highlight w:val="none"/>
          <w:u w:val="none" w:color="auto"/>
        </w:rPr>
        <w:t>资源枯竭</w:t>
      </w:r>
      <w:r>
        <w:rPr>
          <w:rFonts w:hint="eastAsia" w:ascii="仿宋_GB2312"/>
          <w:sz w:val="32"/>
          <w:szCs w:val="32"/>
          <w:highlight w:val="none"/>
          <w:u w:val="none" w:color="auto"/>
          <w:lang w:eastAsia="zh-CN"/>
        </w:rPr>
        <w:t>地区进行差异化补助</w:t>
      </w:r>
      <w:r>
        <w:rPr>
          <w:rFonts w:hint="eastAsia" w:ascii="仿宋_GB2312" w:eastAsia="仿宋_GB2312"/>
          <w:sz w:val="32"/>
          <w:szCs w:val="32"/>
          <w:highlight w:val="none"/>
          <w:u w:val="none" w:color="auto"/>
        </w:rPr>
        <w:t>。</w:t>
      </w:r>
    </w:p>
    <w:p>
      <w:pPr>
        <w:pageBreakBefore w:val="0"/>
        <w:widowControl w:val="0"/>
        <w:kinsoku/>
        <w:wordWrap/>
        <w:overflowPunct/>
        <w:topLinePunct w:val="0"/>
        <w:autoSpaceDE/>
        <w:autoSpaceDN/>
        <w:bidi w:val="0"/>
        <w:adjustRightInd w:val="0"/>
        <w:snapToGrid w:val="0"/>
        <w:spacing w:line="356" w:lineRule="auto"/>
        <w:ind w:firstLine="640" w:firstLineChars="200"/>
        <w:textAlignment w:val="auto"/>
        <w:rPr>
          <w:rFonts w:hint="eastAsia" w:ascii="仿宋_GB2312" w:eastAsia="仿宋_GB2312"/>
          <w:sz w:val="32"/>
          <w:szCs w:val="32"/>
          <w:highlight w:val="none"/>
          <w:u w:val="none" w:color="auto"/>
        </w:rPr>
      </w:pPr>
      <w:r>
        <w:rPr>
          <w:rFonts w:hint="eastAsia" w:ascii="仿宋_GB2312" w:eastAsia="仿宋_GB2312"/>
          <w:sz w:val="32"/>
          <w:szCs w:val="32"/>
          <w:highlight w:val="none"/>
          <w:u w:val="none" w:color="auto"/>
        </w:rPr>
        <w:t>（三）公开透明。转移支付</w:t>
      </w:r>
      <w:r>
        <w:rPr>
          <w:rFonts w:hint="eastAsia" w:ascii="仿宋_GB2312"/>
          <w:sz w:val="32"/>
          <w:szCs w:val="32"/>
          <w:highlight w:val="none"/>
          <w:u w:val="none" w:color="auto"/>
          <w:lang w:eastAsia="zh-CN"/>
        </w:rPr>
        <w:t>管理办法和</w:t>
      </w:r>
      <w:r>
        <w:rPr>
          <w:rFonts w:hint="eastAsia" w:ascii="仿宋_GB2312" w:eastAsia="仿宋_GB2312"/>
          <w:sz w:val="32"/>
          <w:szCs w:val="32"/>
          <w:highlight w:val="none"/>
          <w:u w:val="none" w:color="auto"/>
        </w:rPr>
        <w:t>分配结果公开透明。</w:t>
      </w:r>
    </w:p>
    <w:p>
      <w:pPr>
        <w:pageBreakBefore w:val="0"/>
        <w:widowControl w:val="0"/>
        <w:kinsoku/>
        <w:wordWrap/>
        <w:overflowPunct/>
        <w:topLinePunct w:val="0"/>
        <w:autoSpaceDE/>
        <w:autoSpaceDN/>
        <w:bidi w:val="0"/>
        <w:adjustRightInd w:val="0"/>
        <w:snapToGrid w:val="0"/>
        <w:spacing w:line="356" w:lineRule="auto"/>
        <w:ind w:firstLine="640" w:firstLineChars="200"/>
        <w:textAlignment w:val="auto"/>
        <w:rPr>
          <w:rFonts w:hint="eastAsia" w:ascii="仿宋_GB2312" w:eastAsia="仿宋_GB2312"/>
          <w:strike/>
          <w:sz w:val="32"/>
          <w:szCs w:val="32"/>
          <w:u w:val="none" w:color="auto"/>
        </w:rPr>
      </w:pPr>
      <w:r>
        <w:rPr>
          <w:rFonts w:hint="eastAsia" w:ascii="仿宋_GB2312" w:eastAsia="仿宋_GB2312"/>
          <w:sz w:val="32"/>
          <w:szCs w:val="32"/>
          <w:highlight w:val="none"/>
          <w:u w:val="none" w:color="auto"/>
        </w:rPr>
        <w:t>（四</w:t>
      </w:r>
      <w:r>
        <w:rPr>
          <w:rFonts w:hint="eastAsia" w:ascii="仿宋_GB2312"/>
          <w:sz w:val="32"/>
          <w:szCs w:val="32"/>
          <w:highlight w:val="none"/>
          <w:u w:val="none" w:color="auto"/>
          <w:lang w:eastAsia="zh-CN"/>
        </w:rPr>
        <w:t>）</w:t>
      </w:r>
      <w:r>
        <w:rPr>
          <w:rFonts w:hint="eastAsia" w:ascii="仿宋_GB2312" w:eastAsia="仿宋_GB2312"/>
          <w:sz w:val="32"/>
          <w:szCs w:val="32"/>
          <w:highlight w:val="none"/>
          <w:u w:val="none" w:color="auto"/>
        </w:rPr>
        <w:t>激励约束。</w:t>
      </w:r>
      <w:r>
        <w:rPr>
          <w:rFonts w:hint="eastAsia" w:ascii="仿宋_GB2312"/>
          <w:sz w:val="32"/>
          <w:szCs w:val="32"/>
          <w:highlight w:val="none"/>
          <w:u w:val="none" w:color="auto"/>
          <w:lang w:eastAsia="zh-CN"/>
        </w:rPr>
        <w:t>强化资金绩效管理，提高资金使用效益。</w:t>
      </w:r>
    </w:p>
    <w:p>
      <w:pPr>
        <w:pageBreakBefore w:val="0"/>
        <w:widowControl w:val="0"/>
        <w:kinsoku/>
        <w:wordWrap/>
        <w:overflowPunct/>
        <w:topLinePunct w:val="0"/>
        <w:autoSpaceDE/>
        <w:autoSpaceDN/>
        <w:bidi w:val="0"/>
        <w:adjustRightInd w:val="0"/>
        <w:snapToGrid w:val="0"/>
        <w:spacing w:line="356" w:lineRule="auto"/>
        <w:ind w:firstLine="640" w:firstLineChars="200"/>
        <w:textAlignment w:val="auto"/>
        <w:rPr>
          <w:rFonts w:hint="eastAsia" w:ascii="仿宋_GB2312" w:eastAsia="仿宋_GB2312"/>
          <w:sz w:val="32"/>
          <w:szCs w:val="32"/>
          <w:u w:val="none" w:color="auto"/>
        </w:rPr>
      </w:pPr>
    </w:p>
    <w:p>
      <w:pPr>
        <w:pStyle w:val="4"/>
        <w:pageBreakBefore w:val="0"/>
        <w:widowControl w:val="0"/>
        <w:kinsoku/>
        <w:wordWrap/>
        <w:overflowPunct/>
        <w:topLinePunct w:val="0"/>
        <w:autoSpaceDE/>
        <w:autoSpaceDN/>
        <w:bidi w:val="0"/>
        <w:adjustRightInd w:val="0"/>
        <w:snapToGrid w:val="0"/>
        <w:spacing w:after="0" w:line="356" w:lineRule="auto"/>
        <w:jc w:val="center"/>
        <w:textAlignment w:val="auto"/>
        <w:rPr>
          <w:u w:val="none" w:color="auto"/>
        </w:rPr>
      </w:pPr>
      <w:r>
        <w:rPr>
          <w:rFonts w:hint="eastAsia"/>
          <w:u w:val="none" w:color="auto"/>
        </w:rPr>
        <w:t>第二章</w:t>
      </w:r>
      <w:r>
        <w:rPr>
          <w:rFonts w:hint="eastAsia"/>
          <w:u w:val="none" w:color="auto"/>
          <w:lang w:eastAsia="zh-CN"/>
        </w:rPr>
        <w:t xml:space="preserve">  </w:t>
      </w:r>
      <w:r>
        <w:rPr>
          <w:rFonts w:hint="eastAsia"/>
          <w:u w:val="none" w:color="auto"/>
        </w:rPr>
        <w:t>资金分配</w:t>
      </w:r>
    </w:p>
    <w:p>
      <w:pPr>
        <w:pageBreakBefore w:val="0"/>
        <w:widowControl w:val="0"/>
        <w:kinsoku/>
        <w:wordWrap/>
        <w:overflowPunct/>
        <w:topLinePunct w:val="0"/>
        <w:autoSpaceDE/>
        <w:autoSpaceDN/>
        <w:bidi w:val="0"/>
        <w:adjustRightInd w:val="0"/>
        <w:snapToGrid w:val="0"/>
        <w:spacing w:line="356" w:lineRule="auto"/>
        <w:ind w:firstLine="643" w:firstLineChars="200"/>
        <w:textAlignment w:val="auto"/>
        <w:rPr>
          <w:rFonts w:hint="eastAsia" w:ascii="仿宋_GB2312" w:hAnsi="仿宋_GB2312" w:eastAsia="仿宋_GB2312" w:cs="仿宋_GB2312"/>
          <w:sz w:val="32"/>
          <w:szCs w:val="32"/>
          <w:u w:val="none" w:color="auto"/>
          <w:lang w:val="en-US" w:eastAsia="zh-CN"/>
        </w:rPr>
      </w:pPr>
      <w:r>
        <w:rPr>
          <w:rFonts w:hint="eastAsia" w:ascii="仿宋_GB2312" w:eastAsia="仿宋_GB2312"/>
          <w:b/>
          <w:sz w:val="32"/>
          <w:szCs w:val="32"/>
          <w:u w:val="none" w:color="auto"/>
        </w:rPr>
        <w:t>第</w:t>
      </w:r>
      <w:r>
        <w:rPr>
          <w:rFonts w:hint="eastAsia" w:ascii="仿宋_GB2312"/>
          <w:b/>
          <w:sz w:val="32"/>
          <w:szCs w:val="32"/>
          <w:u w:val="none" w:color="auto"/>
          <w:lang w:eastAsia="zh-CN"/>
        </w:rPr>
        <w:t>五</w:t>
      </w:r>
      <w:r>
        <w:rPr>
          <w:rFonts w:hint="eastAsia" w:ascii="仿宋_GB2312" w:eastAsia="仿宋_GB2312"/>
          <w:b/>
          <w:sz w:val="32"/>
          <w:szCs w:val="32"/>
          <w:u w:val="none" w:color="auto"/>
        </w:rPr>
        <w:t>条</w:t>
      </w:r>
      <w:r>
        <w:rPr>
          <w:rFonts w:hint="eastAsia" w:ascii="仿宋_GB2312" w:eastAsia="仿宋_GB2312"/>
          <w:sz w:val="32"/>
          <w:szCs w:val="32"/>
          <w:u w:val="none" w:color="auto"/>
          <w:lang w:eastAsia="zh-CN"/>
        </w:rPr>
        <w:t xml:space="preserve">  </w:t>
      </w:r>
      <w:r>
        <w:rPr>
          <w:rFonts w:hint="eastAsia" w:ascii="仿宋_GB2312"/>
          <w:sz w:val="32"/>
          <w:szCs w:val="32"/>
          <w:u w:val="none" w:color="auto"/>
          <w:lang w:eastAsia="zh-CN"/>
        </w:rPr>
        <w:t>资源枯竭城市转移支付资金选取影响财政收支、社会发展等方面的客观因素分配，具体计算公式：资源枯竭城市转移支付</w:t>
      </w:r>
      <w:r>
        <w:rPr>
          <w:rFonts w:hint="eastAsia" w:ascii="仿宋_GB2312"/>
          <w:sz w:val="32"/>
          <w:szCs w:val="32"/>
          <w:u w:val="none" w:color="auto"/>
          <w:lang w:val="en-US" w:eastAsia="zh-CN"/>
        </w:rPr>
        <w:t>=资源枯竭城市补助+独立工矿区和采煤沉陷区补助+矿业权退出和环境整治补助</w:t>
      </w:r>
      <w:r>
        <w:rPr>
          <w:rFonts w:hint="eastAsia" w:ascii="仿宋_GB2312" w:hAnsi="仿宋_GB2312" w:eastAsia="仿宋_GB2312" w:cs="仿宋_GB2312"/>
          <w:sz w:val="32"/>
          <w:szCs w:val="32"/>
          <w:u w:val="none" w:color="auto"/>
          <w:lang w:val="en-US" w:eastAsia="zh-CN"/>
        </w:rPr>
        <w:t>±</w:t>
      </w:r>
      <w:r>
        <w:rPr>
          <w:rFonts w:hint="eastAsia" w:ascii="仿宋_GB2312"/>
          <w:sz w:val="32"/>
          <w:szCs w:val="32"/>
          <w:u w:val="none" w:color="auto"/>
          <w:lang w:val="en-US" w:eastAsia="zh-CN"/>
        </w:rPr>
        <w:t>绩效考评奖惩</w:t>
      </w:r>
      <w:r>
        <w:rPr>
          <w:rFonts w:hint="eastAsia" w:ascii="仿宋_GB2312" w:hAnsi="仿宋_GB2312" w:cs="仿宋_GB2312"/>
          <w:sz w:val="32"/>
          <w:szCs w:val="32"/>
          <w:u w:val="none" w:color="auto"/>
          <w:lang w:val="en-US" w:eastAsia="zh-CN"/>
        </w:rPr>
        <w:t>。</w:t>
      </w:r>
    </w:p>
    <w:p>
      <w:pPr>
        <w:pageBreakBefore w:val="0"/>
        <w:widowControl w:val="0"/>
        <w:kinsoku/>
        <w:wordWrap/>
        <w:overflowPunct/>
        <w:topLinePunct w:val="0"/>
        <w:autoSpaceDE/>
        <w:autoSpaceDN/>
        <w:bidi w:val="0"/>
        <w:adjustRightInd w:val="0"/>
        <w:snapToGrid w:val="0"/>
        <w:spacing w:line="356" w:lineRule="auto"/>
        <w:ind w:firstLine="640" w:firstLineChars="200"/>
        <w:textAlignment w:val="auto"/>
        <w:rPr>
          <w:rFonts w:hint="eastAsia" w:ascii="仿宋_GB2312" w:eastAsia="仿宋_GB2312"/>
          <w:sz w:val="32"/>
          <w:szCs w:val="32"/>
          <w:highlight w:val="none"/>
          <w:u w:val="none" w:color="auto"/>
        </w:rPr>
      </w:pPr>
      <w:r>
        <w:rPr>
          <w:rFonts w:hint="eastAsia" w:ascii="仿宋_GB2312"/>
          <w:sz w:val="32"/>
          <w:szCs w:val="32"/>
          <w:u w:val="none" w:color="auto"/>
          <w:lang w:eastAsia="zh-CN"/>
        </w:rPr>
        <w:t>（一）资源枯竭城市补助。</w:t>
      </w:r>
      <w:r>
        <w:rPr>
          <w:rFonts w:hint="eastAsia" w:ascii="仿宋_GB2312" w:eastAsia="仿宋_GB2312"/>
          <w:sz w:val="32"/>
          <w:szCs w:val="32"/>
          <w:u w:val="none" w:color="auto"/>
        </w:rPr>
        <w:t>省财政每年将中央资源枯竭城市转移支付额</w:t>
      </w:r>
      <w:r>
        <w:rPr>
          <w:rFonts w:hint="eastAsia" w:ascii="仿宋_GB2312"/>
          <w:sz w:val="32"/>
          <w:szCs w:val="32"/>
          <w:u w:val="none" w:color="auto"/>
          <w:lang w:eastAsia="zh-CN"/>
        </w:rPr>
        <w:t>度</w:t>
      </w:r>
      <w:r>
        <w:rPr>
          <w:rFonts w:hint="eastAsia" w:ascii="仿宋_GB2312" w:eastAsia="仿宋_GB2312"/>
          <w:sz w:val="32"/>
          <w:szCs w:val="32"/>
          <w:u w:val="none" w:color="auto"/>
        </w:rPr>
        <w:t>通知</w:t>
      </w:r>
      <w:r>
        <w:rPr>
          <w:rFonts w:hint="eastAsia" w:ascii="仿宋_GB2312"/>
          <w:sz w:val="32"/>
          <w:szCs w:val="32"/>
          <w:u w:val="none" w:color="auto"/>
          <w:lang w:eastAsia="zh-CN"/>
        </w:rPr>
        <w:t>有关地市</w:t>
      </w:r>
      <w:r>
        <w:rPr>
          <w:rFonts w:hint="eastAsia" w:ascii="仿宋_GB2312" w:eastAsia="仿宋_GB2312"/>
          <w:sz w:val="32"/>
          <w:szCs w:val="32"/>
          <w:u w:val="none" w:color="auto"/>
        </w:rPr>
        <w:t>，由</w:t>
      </w:r>
      <w:r>
        <w:rPr>
          <w:rFonts w:hint="eastAsia" w:ascii="仿宋_GB2312"/>
          <w:sz w:val="32"/>
          <w:szCs w:val="32"/>
          <w:u w:val="none" w:color="auto"/>
          <w:lang w:eastAsia="zh-CN"/>
        </w:rPr>
        <w:t>地市</w:t>
      </w:r>
      <w:r>
        <w:rPr>
          <w:rFonts w:hint="eastAsia" w:ascii="仿宋_GB2312" w:eastAsia="仿宋_GB2312"/>
          <w:sz w:val="32"/>
          <w:szCs w:val="32"/>
          <w:u w:val="none" w:color="auto"/>
        </w:rPr>
        <w:t>按</w:t>
      </w:r>
      <w:r>
        <w:rPr>
          <w:rFonts w:hint="eastAsia" w:ascii="仿宋_GB2312"/>
          <w:sz w:val="32"/>
          <w:szCs w:val="32"/>
          <w:u w:val="none" w:color="auto"/>
          <w:lang w:eastAsia="zh-CN"/>
        </w:rPr>
        <w:t>一定</w:t>
      </w:r>
      <w:r>
        <w:rPr>
          <w:rFonts w:hint="eastAsia" w:ascii="仿宋_GB2312" w:eastAsia="仿宋_GB2312"/>
          <w:sz w:val="32"/>
          <w:szCs w:val="32"/>
          <w:u w:val="none" w:color="auto"/>
        </w:rPr>
        <w:t>比例在市本级与县（市、区）中进行分配</w:t>
      </w:r>
      <w:r>
        <w:rPr>
          <w:rFonts w:hint="eastAsia" w:ascii="仿宋_GB2312"/>
          <w:sz w:val="32"/>
          <w:szCs w:val="32"/>
          <w:u w:val="none" w:color="auto"/>
          <w:lang w:eastAsia="zh-CN"/>
        </w:rPr>
        <w:t>。</w:t>
      </w:r>
      <w:r>
        <w:rPr>
          <w:rFonts w:hint="eastAsia" w:ascii="仿宋_GB2312" w:eastAsia="仿宋_GB2312"/>
          <w:sz w:val="32"/>
          <w:szCs w:val="32"/>
          <w:u w:val="none" w:color="auto"/>
        </w:rPr>
        <w:t>分配给县（市、区）的资金</w:t>
      </w:r>
      <w:r>
        <w:rPr>
          <w:rFonts w:hint="eastAsia" w:ascii="仿宋_GB2312"/>
          <w:sz w:val="32"/>
          <w:szCs w:val="32"/>
          <w:u w:val="none" w:color="auto"/>
          <w:lang w:eastAsia="zh-CN"/>
        </w:rPr>
        <w:t>不得少于</w:t>
      </w:r>
      <w:r>
        <w:rPr>
          <w:rFonts w:hint="eastAsia" w:ascii="仿宋_GB2312" w:eastAsia="仿宋_GB2312"/>
          <w:sz w:val="32"/>
          <w:szCs w:val="32"/>
          <w:u w:val="none" w:color="auto"/>
        </w:rPr>
        <w:t>资源枯竭城市转移支付</w:t>
      </w:r>
      <w:r>
        <w:rPr>
          <w:rFonts w:hint="eastAsia" w:ascii="仿宋_GB2312"/>
          <w:sz w:val="32"/>
          <w:szCs w:val="32"/>
          <w:u w:val="none" w:color="auto"/>
          <w:lang w:eastAsia="zh-CN"/>
        </w:rPr>
        <w:t>资金额度的</w:t>
      </w:r>
      <w:r>
        <w:rPr>
          <w:rFonts w:hint="eastAsia" w:ascii="仿宋_GB2312"/>
          <w:sz w:val="32"/>
          <w:szCs w:val="32"/>
          <w:u w:val="none" w:color="auto"/>
          <w:lang w:val="en-US" w:eastAsia="zh-CN"/>
        </w:rPr>
        <w:t>30%，</w:t>
      </w:r>
      <w:r>
        <w:rPr>
          <w:rFonts w:hint="eastAsia" w:ascii="仿宋_GB2312" w:eastAsia="仿宋_GB2312"/>
          <w:sz w:val="32"/>
          <w:szCs w:val="32"/>
          <w:u w:val="none" w:color="auto"/>
        </w:rPr>
        <w:t>由</w:t>
      </w:r>
      <w:r>
        <w:rPr>
          <w:rFonts w:hint="eastAsia" w:ascii="仿宋_GB2312"/>
          <w:sz w:val="32"/>
          <w:szCs w:val="32"/>
          <w:u w:val="none" w:color="auto"/>
          <w:lang w:eastAsia="zh-CN"/>
        </w:rPr>
        <w:t>地市</w:t>
      </w:r>
      <w:r>
        <w:rPr>
          <w:rFonts w:hint="eastAsia" w:ascii="仿宋_GB2312" w:eastAsia="仿宋_GB2312"/>
          <w:sz w:val="32"/>
          <w:szCs w:val="32"/>
          <w:u w:val="none" w:color="auto"/>
        </w:rPr>
        <w:t>按照因素法计算，倾斜支持市辖区。</w:t>
      </w:r>
      <w:r>
        <w:rPr>
          <w:rFonts w:hint="eastAsia" w:ascii="仿宋_GB2312"/>
          <w:sz w:val="32"/>
          <w:szCs w:val="32"/>
          <w:highlight w:val="none"/>
          <w:u w:val="none" w:color="auto"/>
          <w:lang w:eastAsia="zh-CN"/>
        </w:rPr>
        <w:t>分配给市本级的资金，</w:t>
      </w:r>
      <w:r>
        <w:rPr>
          <w:rFonts w:hint="eastAsia" w:ascii="仿宋_GB2312"/>
          <w:sz w:val="32"/>
          <w:szCs w:val="32"/>
          <w:u w:val="none" w:color="auto"/>
          <w:lang w:eastAsia="zh-CN"/>
        </w:rPr>
        <w:t>地市</w:t>
      </w:r>
      <w:r>
        <w:rPr>
          <w:rFonts w:hint="eastAsia" w:ascii="仿宋_GB2312"/>
          <w:sz w:val="32"/>
          <w:szCs w:val="32"/>
          <w:highlight w:val="none"/>
          <w:u w:val="none" w:color="auto"/>
          <w:lang w:eastAsia="zh-CN"/>
        </w:rPr>
        <w:t>要优先用于完成棚户区搬迁改造等中央及省规定的任务。</w:t>
      </w:r>
    </w:p>
    <w:p>
      <w:pPr>
        <w:keepNext w:val="0"/>
        <w:keepLines w:val="0"/>
        <w:pageBreakBefore w:val="0"/>
        <w:widowControl w:val="0"/>
        <w:kinsoku/>
        <w:wordWrap/>
        <w:overflowPunct/>
        <w:topLinePunct w:val="0"/>
        <w:autoSpaceDE/>
        <w:autoSpaceDN/>
        <w:bidi w:val="0"/>
        <w:adjustRightInd w:val="0"/>
        <w:snapToGrid w:val="0"/>
        <w:spacing w:before="0" w:line="356" w:lineRule="auto"/>
        <w:ind w:firstLine="640" w:firstLineChars="200"/>
        <w:textAlignment w:val="auto"/>
        <w:outlineLvl w:val="9"/>
        <w:rPr>
          <w:rFonts w:hint="eastAsia" w:ascii="仿宋_GB2312" w:cs="宋体"/>
          <w:bCs/>
          <w:kern w:val="0"/>
          <w:szCs w:val="32"/>
          <w:u w:val="none" w:color="auto"/>
          <w:lang w:val="en-US" w:eastAsia="zh-CN" w:bidi="ar-SA"/>
        </w:rPr>
      </w:pPr>
      <w:r>
        <w:rPr>
          <w:rFonts w:hint="eastAsia" w:ascii="仿宋_GB2312" w:cs="宋体"/>
          <w:bCs/>
          <w:kern w:val="0"/>
          <w:szCs w:val="32"/>
          <w:u w:val="none" w:color="auto"/>
          <w:lang w:val="en-US" w:eastAsia="zh-CN" w:bidi="ar-SA"/>
        </w:rPr>
        <w:t>县</w:t>
      </w:r>
      <w:r>
        <w:rPr>
          <w:rFonts w:hint="eastAsia" w:ascii="仿宋_GB2312" w:eastAsia="仿宋_GB2312"/>
          <w:sz w:val="32"/>
          <w:szCs w:val="32"/>
          <w:u w:val="none" w:color="auto"/>
        </w:rPr>
        <w:t>（市、区）的资金</w:t>
      </w:r>
      <w:r>
        <w:rPr>
          <w:rFonts w:hint="eastAsia" w:ascii="仿宋_GB2312"/>
          <w:sz w:val="32"/>
          <w:szCs w:val="32"/>
          <w:u w:val="none" w:color="auto"/>
          <w:lang w:eastAsia="zh-CN"/>
        </w:rPr>
        <w:t>分配</w:t>
      </w:r>
      <w:r>
        <w:rPr>
          <w:rFonts w:hint="eastAsia" w:ascii="仿宋_GB2312" w:cs="宋体"/>
          <w:bCs/>
          <w:kern w:val="0"/>
          <w:szCs w:val="32"/>
          <w:u w:val="none" w:color="auto"/>
          <w:lang w:val="en-US" w:eastAsia="zh-CN" w:bidi="ar-SA"/>
        </w:rPr>
        <w:t>综合系数=非农人口占比（市辖区</w:t>
      </w:r>
      <w:r>
        <w:rPr>
          <w:rFonts w:hint="eastAsia" w:ascii="仿宋_GB2312" w:cs="宋体"/>
          <w:bCs/>
          <w:spacing w:val="-6"/>
          <w:kern w:val="0"/>
          <w:szCs w:val="32"/>
          <w:u w:val="none" w:color="auto"/>
          <w:lang w:val="en-US" w:eastAsia="zh-CN" w:bidi="ar-SA"/>
        </w:rPr>
        <w:t>采用总人口）</w:t>
      </w:r>
      <w:r>
        <w:rPr>
          <w:rFonts w:hint="default" w:ascii="Arial" w:hAnsi="Arial" w:cs="Arial"/>
          <w:bCs/>
          <w:spacing w:val="-6"/>
          <w:kern w:val="0"/>
          <w:szCs w:val="32"/>
          <w:u w:val="none" w:color="auto"/>
          <w:lang w:val="en-US" w:eastAsia="zh-CN" w:bidi="ar-SA"/>
        </w:rPr>
        <w:t>÷</w:t>
      </w:r>
      <w:r>
        <w:rPr>
          <w:rFonts w:hint="eastAsia" w:ascii="仿宋_GB2312" w:cs="宋体"/>
          <w:bCs/>
          <w:spacing w:val="-6"/>
          <w:kern w:val="0"/>
          <w:szCs w:val="32"/>
          <w:highlight w:val="none"/>
          <w:u w:val="none" w:color="auto"/>
          <w:lang w:val="en-US" w:eastAsia="zh-CN" w:bidi="ar-SA"/>
        </w:rPr>
        <w:t>综合财力系数×资源枯竭程度系数×资源类型</w:t>
      </w:r>
      <w:r>
        <w:rPr>
          <w:rFonts w:hint="eastAsia" w:ascii="仿宋_GB2312" w:cs="宋体"/>
          <w:bCs/>
          <w:kern w:val="0"/>
          <w:szCs w:val="32"/>
          <w:u w:val="none" w:color="auto"/>
          <w:lang w:val="en-US" w:eastAsia="zh-CN" w:bidi="ar-SA"/>
        </w:rPr>
        <w:t>系数</w:t>
      </w:r>
    </w:p>
    <w:p>
      <w:pPr>
        <w:pageBreakBefore w:val="0"/>
        <w:widowControl w:val="0"/>
        <w:kinsoku/>
        <w:wordWrap/>
        <w:overflowPunct/>
        <w:topLinePunct w:val="0"/>
        <w:autoSpaceDE/>
        <w:autoSpaceDN/>
        <w:bidi w:val="0"/>
        <w:adjustRightInd w:val="0"/>
        <w:snapToGrid w:val="0"/>
        <w:spacing w:line="356" w:lineRule="auto"/>
        <w:ind w:firstLine="640" w:firstLineChars="200"/>
        <w:textAlignment w:val="auto"/>
        <w:rPr>
          <w:rFonts w:hint="eastAsia" w:ascii="仿宋_GB2312" w:eastAsia="仿宋_GB2312"/>
          <w:sz w:val="32"/>
          <w:szCs w:val="32"/>
          <w:u w:val="none" w:color="auto"/>
        </w:rPr>
      </w:pPr>
      <w:r>
        <w:rPr>
          <w:rFonts w:hint="eastAsia" w:ascii="仿宋_GB2312" w:eastAsia="仿宋_GB2312"/>
          <w:sz w:val="32"/>
          <w:szCs w:val="32"/>
          <w:u w:val="none" w:color="auto"/>
        </w:rPr>
        <w:t>资源枯竭程度系数参照可利用资源储量占累计查明储量的比重分档确定。资源类型系数分煤矿、铁矿、铅锌矿等资源类型。</w:t>
      </w:r>
    </w:p>
    <w:p>
      <w:pPr>
        <w:pageBreakBefore w:val="0"/>
        <w:widowControl w:val="0"/>
        <w:kinsoku/>
        <w:wordWrap/>
        <w:overflowPunct/>
        <w:topLinePunct w:val="0"/>
        <w:autoSpaceDE/>
        <w:autoSpaceDN/>
        <w:bidi w:val="0"/>
        <w:adjustRightInd w:val="0"/>
        <w:snapToGrid w:val="0"/>
        <w:spacing w:line="356" w:lineRule="auto"/>
        <w:ind w:firstLine="640"/>
        <w:textAlignment w:val="auto"/>
        <w:rPr>
          <w:rFonts w:hint="eastAsia" w:ascii="仿宋_GB2312"/>
          <w:szCs w:val="32"/>
          <w:u w:val="none" w:color="auto"/>
          <w:lang w:eastAsia="zh-CN"/>
        </w:rPr>
      </w:pPr>
      <w:r>
        <w:rPr>
          <w:rFonts w:hint="eastAsia" w:ascii="仿宋_GB2312"/>
          <w:szCs w:val="32"/>
          <w:u w:val="none" w:color="auto"/>
          <w:lang w:eastAsia="zh-CN"/>
        </w:rPr>
        <w:t>其中，</w:t>
      </w:r>
      <w:r>
        <w:rPr>
          <w:rFonts w:hint="eastAsia" w:ascii="仿宋_GB2312"/>
          <w:szCs w:val="32"/>
          <w:highlight w:val="none"/>
          <w:u w:val="none" w:color="auto"/>
        </w:rPr>
        <w:t>综合财力系数由省财政根据可支配财力、人均GDP、人均可支配财力、人均一般公共预算支出等指标统一计算。</w:t>
      </w:r>
    </w:p>
    <w:p>
      <w:pPr>
        <w:pageBreakBefore w:val="0"/>
        <w:widowControl w:val="0"/>
        <w:kinsoku/>
        <w:wordWrap/>
        <w:overflowPunct/>
        <w:topLinePunct w:val="0"/>
        <w:autoSpaceDE/>
        <w:autoSpaceDN/>
        <w:bidi w:val="0"/>
        <w:adjustRightInd w:val="0"/>
        <w:snapToGrid w:val="0"/>
        <w:spacing w:line="356" w:lineRule="auto"/>
        <w:ind w:firstLine="640" w:firstLineChars="200"/>
        <w:textAlignment w:val="auto"/>
        <w:rPr>
          <w:rFonts w:hint="eastAsia" w:ascii="仿宋_GB2312" w:eastAsia="仿宋_GB2312"/>
          <w:sz w:val="32"/>
          <w:szCs w:val="32"/>
          <w:highlight w:val="none"/>
          <w:u w:val="none" w:color="auto"/>
        </w:rPr>
      </w:pPr>
      <w:r>
        <w:rPr>
          <w:rFonts w:hint="eastAsia" w:ascii="仿宋_GB2312"/>
          <w:sz w:val="32"/>
          <w:szCs w:val="32"/>
          <w:u w:val="none" w:color="auto"/>
          <w:lang w:eastAsia="zh-CN"/>
        </w:rPr>
        <w:t>（二）独立工矿区和采煤沉陷区补助。</w:t>
      </w:r>
      <w:r>
        <w:rPr>
          <w:rFonts w:hint="eastAsia" w:ascii="仿宋_GB2312" w:eastAsia="仿宋_GB2312"/>
          <w:sz w:val="32"/>
          <w:szCs w:val="32"/>
          <w:u w:val="none" w:color="auto"/>
        </w:rPr>
        <w:t>省财政每年</w:t>
      </w:r>
      <w:r>
        <w:rPr>
          <w:rFonts w:hint="eastAsia" w:ascii="仿宋_GB2312"/>
          <w:sz w:val="32"/>
          <w:szCs w:val="32"/>
          <w:u w:val="none" w:color="auto"/>
          <w:lang w:eastAsia="zh-CN"/>
        </w:rPr>
        <w:t>根据中央下达的独立工矿区和采煤沉陷区补助数额，按照因素法分配至有关地区，分配因素选取独立工矿区和采煤沉陷区面积、个数、人口等。</w:t>
      </w:r>
    </w:p>
    <w:p>
      <w:pPr>
        <w:pageBreakBefore w:val="0"/>
        <w:widowControl w:val="0"/>
        <w:kinsoku/>
        <w:wordWrap/>
        <w:overflowPunct/>
        <w:topLinePunct w:val="0"/>
        <w:autoSpaceDE/>
        <w:autoSpaceDN/>
        <w:bidi w:val="0"/>
        <w:adjustRightInd w:val="0"/>
        <w:snapToGrid w:val="0"/>
        <w:spacing w:line="356" w:lineRule="auto"/>
        <w:ind w:firstLine="640" w:firstLineChars="200"/>
        <w:textAlignment w:val="auto"/>
        <w:rPr>
          <w:rFonts w:hint="eastAsia" w:ascii="仿宋_GB2312" w:eastAsia="仿宋_GB2312"/>
          <w:sz w:val="32"/>
          <w:szCs w:val="32"/>
          <w:highlight w:val="none"/>
          <w:u w:val="none" w:color="auto"/>
        </w:rPr>
      </w:pPr>
      <w:r>
        <w:rPr>
          <w:rFonts w:hint="eastAsia" w:ascii="仿宋_GB2312"/>
          <w:sz w:val="32"/>
          <w:szCs w:val="32"/>
          <w:u w:val="none" w:color="auto"/>
          <w:lang w:eastAsia="zh-CN"/>
        </w:rPr>
        <w:t>（三）矿业权退出和环境整治补助。</w:t>
      </w:r>
      <w:r>
        <w:rPr>
          <w:rFonts w:hint="eastAsia" w:ascii="仿宋_GB2312" w:eastAsia="仿宋_GB2312"/>
          <w:sz w:val="32"/>
          <w:szCs w:val="32"/>
          <w:u w:val="none" w:color="auto"/>
        </w:rPr>
        <w:t>省财政每年</w:t>
      </w:r>
      <w:r>
        <w:rPr>
          <w:rFonts w:hint="eastAsia" w:ascii="仿宋_GB2312"/>
          <w:sz w:val="32"/>
          <w:szCs w:val="32"/>
          <w:u w:val="none" w:color="auto"/>
          <w:lang w:eastAsia="zh-CN"/>
        </w:rPr>
        <w:t>根据中央下达的矿业权退出和环境整治补助数额，按照因素法分配至有关地区，分配因素选取相关地区矿业权退出补偿资金和环境整治支出需求、地方财力情况等。</w:t>
      </w:r>
    </w:p>
    <w:p>
      <w:pPr>
        <w:pageBreakBefore w:val="0"/>
        <w:widowControl w:val="0"/>
        <w:kinsoku/>
        <w:wordWrap/>
        <w:overflowPunct/>
        <w:topLinePunct w:val="0"/>
        <w:autoSpaceDE/>
        <w:autoSpaceDN/>
        <w:bidi w:val="0"/>
        <w:adjustRightInd w:val="0"/>
        <w:snapToGrid w:val="0"/>
        <w:spacing w:line="356" w:lineRule="auto"/>
        <w:ind w:firstLine="640" w:firstLineChars="200"/>
        <w:textAlignment w:val="auto"/>
        <w:rPr>
          <w:rFonts w:hint="eastAsia" w:ascii="仿宋_GB2312" w:eastAsia="仿宋_GB2312"/>
          <w:sz w:val="32"/>
          <w:szCs w:val="32"/>
          <w:highlight w:val="none"/>
          <w:u w:val="none" w:color="auto"/>
        </w:rPr>
      </w:pPr>
      <w:r>
        <w:rPr>
          <w:rFonts w:hint="eastAsia" w:ascii="仿宋_GB2312"/>
          <w:sz w:val="32"/>
          <w:szCs w:val="32"/>
          <w:u w:val="none" w:color="auto"/>
          <w:lang w:eastAsia="zh-CN"/>
        </w:rPr>
        <w:t>（四）绩效考评奖惩。</w:t>
      </w:r>
      <w:r>
        <w:rPr>
          <w:rFonts w:hint="eastAsia" w:ascii="仿宋_GB2312" w:eastAsia="仿宋_GB2312"/>
          <w:sz w:val="32"/>
          <w:szCs w:val="32"/>
          <w:u w:val="none" w:color="auto"/>
        </w:rPr>
        <w:t>省财政每年</w:t>
      </w:r>
      <w:r>
        <w:rPr>
          <w:rFonts w:hint="eastAsia" w:ascii="仿宋_GB2312"/>
          <w:sz w:val="32"/>
          <w:szCs w:val="32"/>
          <w:u w:val="none" w:color="auto"/>
          <w:lang w:eastAsia="zh-CN"/>
        </w:rPr>
        <w:t>根据中央下达的绩效考评奖惩数额，对资源枯竭城市转型成果明显、资金使用绩效优秀的地区给予奖励；对工作成效不佳、资金使用效益差的地区，结合实际情况对转移支付资金予以扣减或取消当年补助。</w:t>
      </w:r>
    </w:p>
    <w:p>
      <w:pPr>
        <w:pStyle w:val="2"/>
        <w:pageBreakBefore w:val="0"/>
        <w:widowControl w:val="0"/>
        <w:kinsoku/>
        <w:wordWrap/>
        <w:overflowPunct/>
        <w:topLinePunct w:val="0"/>
        <w:autoSpaceDE/>
        <w:autoSpaceDN/>
        <w:bidi w:val="0"/>
        <w:adjustRightInd w:val="0"/>
        <w:snapToGrid w:val="0"/>
        <w:spacing w:after="0" w:line="356" w:lineRule="auto"/>
        <w:textAlignment w:val="auto"/>
        <w:rPr>
          <w:u w:val="none" w:color="auto"/>
        </w:rPr>
      </w:pPr>
    </w:p>
    <w:p>
      <w:pPr>
        <w:pStyle w:val="4"/>
        <w:pageBreakBefore w:val="0"/>
        <w:widowControl w:val="0"/>
        <w:kinsoku/>
        <w:wordWrap/>
        <w:overflowPunct/>
        <w:topLinePunct w:val="0"/>
        <w:autoSpaceDE/>
        <w:autoSpaceDN/>
        <w:bidi w:val="0"/>
        <w:adjustRightInd w:val="0"/>
        <w:snapToGrid w:val="0"/>
        <w:spacing w:after="0" w:line="356" w:lineRule="auto"/>
        <w:jc w:val="center"/>
        <w:textAlignment w:val="auto"/>
        <w:rPr>
          <w:u w:val="none" w:color="auto"/>
        </w:rPr>
      </w:pPr>
      <w:r>
        <w:rPr>
          <w:rFonts w:hint="eastAsia"/>
          <w:u w:val="none" w:color="auto"/>
        </w:rPr>
        <w:t>第三章</w:t>
      </w:r>
      <w:r>
        <w:rPr>
          <w:rFonts w:hint="eastAsia"/>
          <w:u w:val="none" w:color="auto"/>
          <w:lang w:eastAsia="zh-CN"/>
        </w:rPr>
        <w:t xml:space="preserve">  </w:t>
      </w:r>
      <w:r>
        <w:rPr>
          <w:rFonts w:hint="eastAsia"/>
          <w:u w:val="none" w:color="auto"/>
        </w:rPr>
        <w:t>资金申报和下达</w:t>
      </w:r>
    </w:p>
    <w:p>
      <w:pPr>
        <w:pageBreakBefore w:val="0"/>
        <w:widowControl w:val="0"/>
        <w:kinsoku/>
        <w:wordWrap/>
        <w:overflowPunct/>
        <w:topLinePunct w:val="0"/>
        <w:autoSpaceDE/>
        <w:autoSpaceDN/>
        <w:bidi w:val="0"/>
        <w:adjustRightInd w:val="0"/>
        <w:snapToGrid w:val="0"/>
        <w:spacing w:line="356" w:lineRule="auto"/>
        <w:ind w:firstLine="643" w:firstLineChars="200"/>
        <w:textAlignment w:val="auto"/>
        <w:rPr>
          <w:rFonts w:hint="eastAsia" w:ascii="仿宋_GB2312" w:eastAsia="仿宋_GB2312"/>
          <w:sz w:val="32"/>
          <w:szCs w:val="32"/>
          <w:highlight w:val="none"/>
          <w:u w:val="none" w:color="auto"/>
        </w:rPr>
      </w:pPr>
      <w:r>
        <w:rPr>
          <w:rFonts w:hint="eastAsia" w:ascii="仿宋_GB2312" w:eastAsia="仿宋_GB2312"/>
          <w:b/>
          <w:sz w:val="32"/>
          <w:szCs w:val="32"/>
          <w:u w:val="none" w:color="auto"/>
        </w:rPr>
        <w:t>第</w:t>
      </w:r>
      <w:r>
        <w:rPr>
          <w:rFonts w:hint="eastAsia" w:ascii="仿宋_GB2312"/>
          <w:b/>
          <w:sz w:val="32"/>
          <w:szCs w:val="32"/>
          <w:u w:val="none" w:color="auto"/>
          <w:lang w:eastAsia="zh-CN"/>
        </w:rPr>
        <w:t>六</w:t>
      </w:r>
      <w:r>
        <w:rPr>
          <w:rFonts w:hint="eastAsia" w:ascii="仿宋_GB2312" w:eastAsia="仿宋_GB2312"/>
          <w:b/>
          <w:sz w:val="32"/>
          <w:szCs w:val="32"/>
          <w:u w:val="none" w:color="auto"/>
        </w:rPr>
        <w:t>条</w:t>
      </w:r>
      <w:r>
        <w:rPr>
          <w:rFonts w:hint="eastAsia" w:ascii="仿宋_GB2312" w:eastAsia="仿宋_GB2312"/>
          <w:sz w:val="32"/>
          <w:szCs w:val="32"/>
          <w:highlight w:val="none"/>
          <w:u w:val="none" w:color="auto"/>
          <w:lang w:eastAsia="zh-CN"/>
        </w:rPr>
        <w:t xml:space="preserve">  </w:t>
      </w:r>
      <w:r>
        <w:rPr>
          <w:rFonts w:hint="eastAsia" w:ascii="仿宋_GB2312"/>
          <w:b w:val="0"/>
          <w:bCs w:val="0"/>
          <w:sz w:val="32"/>
          <w:szCs w:val="32"/>
          <w:highlight w:val="none"/>
          <w:u w:val="none" w:color="auto"/>
          <w:lang w:eastAsia="zh-CN"/>
        </w:rPr>
        <w:t>有关</w:t>
      </w:r>
      <w:r>
        <w:rPr>
          <w:rFonts w:hint="eastAsia" w:ascii="仿宋_GB2312"/>
          <w:sz w:val="32"/>
          <w:szCs w:val="32"/>
          <w:highlight w:val="none"/>
          <w:u w:val="none" w:color="auto"/>
          <w:lang w:eastAsia="zh-CN"/>
        </w:rPr>
        <w:t>地市</w:t>
      </w:r>
      <w:r>
        <w:rPr>
          <w:rFonts w:hint="eastAsia" w:ascii="仿宋_GB2312" w:eastAsia="仿宋_GB2312"/>
          <w:sz w:val="32"/>
          <w:szCs w:val="32"/>
          <w:highlight w:val="none"/>
          <w:u w:val="none" w:color="auto"/>
          <w:lang w:eastAsia="zh-CN"/>
        </w:rPr>
        <w:t>财政局</w:t>
      </w:r>
      <w:r>
        <w:rPr>
          <w:rFonts w:hint="eastAsia" w:ascii="仿宋_GB2312" w:eastAsia="仿宋_GB2312"/>
          <w:sz w:val="32"/>
          <w:szCs w:val="32"/>
          <w:highlight w:val="none"/>
          <w:u w:val="none" w:color="auto"/>
        </w:rPr>
        <w:t>收到省通知</w:t>
      </w:r>
      <w:r>
        <w:rPr>
          <w:rFonts w:hint="eastAsia" w:ascii="仿宋_GB2312"/>
          <w:sz w:val="32"/>
          <w:szCs w:val="32"/>
          <w:highlight w:val="none"/>
          <w:u w:val="none" w:color="auto"/>
          <w:lang w:eastAsia="zh-CN"/>
        </w:rPr>
        <w:t>资源枯竭城市补助</w:t>
      </w:r>
      <w:r>
        <w:rPr>
          <w:rFonts w:hint="eastAsia" w:ascii="仿宋_GB2312" w:eastAsia="仿宋_GB2312"/>
          <w:sz w:val="32"/>
          <w:szCs w:val="32"/>
          <w:highlight w:val="none"/>
          <w:u w:val="none" w:color="auto"/>
        </w:rPr>
        <w:t>额度后</w:t>
      </w:r>
      <w:r>
        <w:rPr>
          <w:rFonts w:hint="eastAsia" w:ascii="仿宋_GB2312" w:eastAsia="仿宋_GB2312"/>
          <w:sz w:val="32"/>
          <w:szCs w:val="32"/>
          <w:highlight w:val="none"/>
          <w:u w:val="none" w:color="auto"/>
          <w:lang w:eastAsia="zh-CN"/>
        </w:rPr>
        <w:t>1</w:t>
      </w:r>
      <w:r>
        <w:rPr>
          <w:rFonts w:hint="eastAsia" w:ascii="仿宋_GB2312" w:eastAsia="仿宋_GB2312"/>
          <w:sz w:val="32"/>
          <w:szCs w:val="32"/>
          <w:highlight w:val="none"/>
          <w:u w:val="none" w:color="auto"/>
          <w:lang w:val="en-US" w:eastAsia="zh-CN"/>
        </w:rPr>
        <w:t>0</w:t>
      </w:r>
      <w:r>
        <w:rPr>
          <w:rFonts w:hint="eastAsia" w:ascii="仿宋_GB2312" w:eastAsia="仿宋_GB2312"/>
          <w:sz w:val="32"/>
          <w:szCs w:val="32"/>
          <w:highlight w:val="none"/>
          <w:u w:val="none" w:color="auto"/>
        </w:rPr>
        <w:t>日内向省财政厅上报资金申请和分配方案，省财政厅按规定对资金分配方案进行审核并下达</w:t>
      </w:r>
      <w:r>
        <w:rPr>
          <w:rFonts w:hint="eastAsia" w:ascii="仿宋_GB2312"/>
          <w:sz w:val="32"/>
          <w:szCs w:val="32"/>
          <w:highlight w:val="none"/>
          <w:u w:val="none" w:color="auto"/>
          <w:lang w:eastAsia="zh-CN"/>
        </w:rPr>
        <w:t>补助</w:t>
      </w:r>
      <w:r>
        <w:rPr>
          <w:rFonts w:hint="eastAsia" w:ascii="仿宋_GB2312" w:eastAsia="仿宋_GB2312"/>
          <w:sz w:val="32"/>
          <w:szCs w:val="32"/>
          <w:highlight w:val="none"/>
          <w:u w:val="none" w:color="auto"/>
        </w:rPr>
        <w:t>资金。</w:t>
      </w:r>
    </w:p>
    <w:p>
      <w:pPr>
        <w:pageBreakBefore w:val="0"/>
        <w:widowControl w:val="0"/>
        <w:kinsoku/>
        <w:wordWrap/>
        <w:overflowPunct/>
        <w:topLinePunct w:val="0"/>
        <w:autoSpaceDE/>
        <w:autoSpaceDN/>
        <w:bidi w:val="0"/>
        <w:adjustRightInd w:val="0"/>
        <w:snapToGrid w:val="0"/>
        <w:spacing w:line="356" w:lineRule="auto"/>
        <w:ind w:firstLine="643" w:firstLineChars="200"/>
        <w:textAlignment w:val="auto"/>
        <w:rPr>
          <w:rFonts w:hint="eastAsia" w:ascii="仿宋_GB2312" w:eastAsia="仿宋_GB2312"/>
          <w:sz w:val="32"/>
          <w:szCs w:val="32"/>
          <w:highlight w:val="none"/>
          <w:u w:val="none" w:color="auto"/>
        </w:rPr>
      </w:pPr>
      <w:r>
        <w:rPr>
          <w:rFonts w:hint="eastAsia" w:ascii="仿宋_GB2312" w:eastAsia="仿宋_GB2312"/>
          <w:b/>
          <w:sz w:val="32"/>
          <w:szCs w:val="32"/>
          <w:highlight w:val="none"/>
          <w:u w:val="none" w:color="auto"/>
        </w:rPr>
        <w:t>第</w:t>
      </w:r>
      <w:r>
        <w:rPr>
          <w:rFonts w:hint="eastAsia" w:ascii="仿宋_GB2312"/>
          <w:b/>
          <w:sz w:val="32"/>
          <w:szCs w:val="32"/>
          <w:highlight w:val="none"/>
          <w:u w:val="none" w:color="auto"/>
          <w:lang w:eastAsia="zh-CN"/>
        </w:rPr>
        <w:t>七</w:t>
      </w:r>
      <w:r>
        <w:rPr>
          <w:rFonts w:hint="eastAsia" w:ascii="仿宋_GB2312" w:eastAsia="仿宋_GB2312"/>
          <w:b/>
          <w:sz w:val="32"/>
          <w:szCs w:val="32"/>
          <w:highlight w:val="none"/>
          <w:u w:val="none" w:color="auto"/>
        </w:rPr>
        <w:t>条</w:t>
      </w:r>
      <w:r>
        <w:rPr>
          <w:rFonts w:hint="eastAsia" w:ascii="仿宋_GB2312" w:eastAsia="仿宋_GB2312"/>
          <w:sz w:val="32"/>
          <w:szCs w:val="32"/>
          <w:highlight w:val="none"/>
          <w:u w:val="none" w:color="auto"/>
          <w:lang w:eastAsia="zh-CN"/>
        </w:rPr>
        <w:t xml:space="preserve">  </w:t>
      </w:r>
      <w:r>
        <w:rPr>
          <w:rFonts w:hint="eastAsia" w:ascii="仿宋_GB2312"/>
          <w:sz w:val="32"/>
          <w:szCs w:val="32"/>
          <w:highlight w:val="none"/>
          <w:u w:val="none" w:color="auto"/>
          <w:lang w:eastAsia="zh-CN"/>
        </w:rPr>
        <w:t>有关地市</w:t>
      </w:r>
      <w:r>
        <w:rPr>
          <w:rFonts w:hint="eastAsia" w:ascii="仿宋_GB2312" w:eastAsia="仿宋_GB2312"/>
          <w:sz w:val="32"/>
          <w:szCs w:val="32"/>
          <w:highlight w:val="none"/>
          <w:u w:val="none" w:color="auto"/>
          <w:lang w:eastAsia="zh-CN"/>
        </w:rPr>
        <w:t>财政局</w:t>
      </w:r>
      <w:r>
        <w:rPr>
          <w:rFonts w:hint="eastAsia" w:ascii="仿宋_GB2312" w:eastAsia="仿宋_GB2312"/>
          <w:sz w:val="32"/>
          <w:szCs w:val="32"/>
          <w:highlight w:val="none"/>
          <w:u w:val="none" w:color="auto"/>
        </w:rPr>
        <w:t>收到</w:t>
      </w:r>
      <w:r>
        <w:rPr>
          <w:rFonts w:hint="eastAsia" w:ascii="仿宋_GB2312"/>
          <w:sz w:val="32"/>
          <w:szCs w:val="32"/>
          <w:highlight w:val="none"/>
          <w:u w:val="none" w:color="auto"/>
          <w:lang w:eastAsia="zh-CN"/>
        </w:rPr>
        <w:t>资源枯竭城市补助</w:t>
      </w:r>
      <w:r>
        <w:rPr>
          <w:rFonts w:hint="eastAsia" w:ascii="仿宋_GB2312" w:eastAsia="仿宋_GB2312"/>
          <w:sz w:val="32"/>
          <w:szCs w:val="32"/>
          <w:highlight w:val="none"/>
          <w:u w:val="none" w:color="auto"/>
        </w:rPr>
        <w:t>资金后，尽快下达有关县（市、区），并于当年11月30日前将资金使用情况上报省财政厅。</w:t>
      </w:r>
      <w:r>
        <w:rPr>
          <w:rFonts w:hint="eastAsia" w:ascii="仿宋_GB2312"/>
          <w:sz w:val="32"/>
          <w:szCs w:val="32"/>
          <w:highlight w:val="none"/>
          <w:u w:val="none" w:color="auto"/>
          <w:lang w:eastAsia="zh-CN"/>
        </w:rPr>
        <w:t>有关地市</w:t>
      </w:r>
      <w:r>
        <w:rPr>
          <w:rFonts w:hint="eastAsia" w:ascii="仿宋_GB2312" w:eastAsia="仿宋_GB2312"/>
          <w:sz w:val="32"/>
          <w:szCs w:val="32"/>
          <w:highlight w:val="none"/>
          <w:u w:val="none" w:color="auto"/>
        </w:rPr>
        <w:t>上一年度项目建设进度、资金管理措施、资金使用进度和使用效益等情况，将作为省财政下一年度资金拨付的参考。</w:t>
      </w:r>
    </w:p>
    <w:p>
      <w:pPr>
        <w:pageBreakBefore w:val="0"/>
        <w:widowControl w:val="0"/>
        <w:kinsoku/>
        <w:wordWrap/>
        <w:overflowPunct/>
        <w:topLinePunct w:val="0"/>
        <w:autoSpaceDE/>
        <w:autoSpaceDN/>
        <w:bidi w:val="0"/>
        <w:adjustRightInd w:val="0"/>
        <w:snapToGrid w:val="0"/>
        <w:spacing w:line="356" w:lineRule="auto"/>
        <w:ind w:firstLine="643" w:firstLineChars="200"/>
        <w:textAlignment w:val="auto"/>
        <w:rPr>
          <w:rFonts w:hint="eastAsia" w:ascii="仿宋_GB2312" w:eastAsia="仿宋_GB2312"/>
          <w:sz w:val="32"/>
          <w:szCs w:val="32"/>
          <w:highlight w:val="none"/>
          <w:u w:val="none" w:color="auto"/>
        </w:rPr>
      </w:pPr>
      <w:r>
        <w:rPr>
          <w:rFonts w:hint="eastAsia" w:ascii="仿宋_GB2312" w:eastAsia="仿宋_GB2312"/>
          <w:b/>
          <w:sz w:val="32"/>
          <w:szCs w:val="32"/>
          <w:highlight w:val="none"/>
          <w:u w:val="none" w:color="auto"/>
        </w:rPr>
        <w:t>第</w:t>
      </w:r>
      <w:r>
        <w:rPr>
          <w:rFonts w:hint="eastAsia" w:ascii="仿宋_GB2312"/>
          <w:b/>
          <w:sz w:val="32"/>
          <w:szCs w:val="32"/>
          <w:highlight w:val="none"/>
          <w:u w:val="none" w:color="auto"/>
          <w:lang w:eastAsia="zh-CN"/>
        </w:rPr>
        <w:t>八</w:t>
      </w:r>
      <w:r>
        <w:rPr>
          <w:rFonts w:hint="eastAsia" w:ascii="仿宋_GB2312" w:eastAsia="仿宋_GB2312"/>
          <w:b/>
          <w:sz w:val="32"/>
          <w:szCs w:val="32"/>
          <w:highlight w:val="none"/>
          <w:u w:val="none" w:color="auto"/>
        </w:rPr>
        <w:t>条</w:t>
      </w:r>
      <w:r>
        <w:rPr>
          <w:rFonts w:hint="eastAsia" w:ascii="仿宋_GB2312" w:eastAsia="仿宋_GB2312"/>
          <w:sz w:val="32"/>
          <w:szCs w:val="32"/>
          <w:highlight w:val="none"/>
          <w:u w:val="none" w:color="auto"/>
          <w:lang w:eastAsia="zh-CN"/>
        </w:rPr>
        <w:t xml:space="preserve">  </w:t>
      </w:r>
      <w:r>
        <w:rPr>
          <w:rFonts w:hint="eastAsia" w:ascii="仿宋_GB2312"/>
          <w:sz w:val="32"/>
          <w:szCs w:val="32"/>
          <w:highlight w:val="none"/>
          <w:u w:val="none" w:color="auto"/>
          <w:lang w:eastAsia="zh-CN"/>
        </w:rPr>
        <w:t>有关市县收到资</w:t>
      </w:r>
      <w:r>
        <w:rPr>
          <w:rFonts w:hint="eastAsia" w:ascii="仿宋_GB2312" w:eastAsia="仿宋_GB2312"/>
          <w:sz w:val="32"/>
          <w:szCs w:val="32"/>
          <w:highlight w:val="none"/>
          <w:u w:val="none" w:color="auto"/>
        </w:rPr>
        <w:t>源枯竭城市转移支付资金</w:t>
      </w:r>
      <w:r>
        <w:rPr>
          <w:rFonts w:hint="eastAsia" w:ascii="仿宋_GB2312"/>
          <w:sz w:val="32"/>
          <w:szCs w:val="32"/>
          <w:highlight w:val="none"/>
          <w:u w:val="none" w:color="auto"/>
          <w:lang w:eastAsia="zh-CN"/>
        </w:rPr>
        <w:t>后，</w:t>
      </w:r>
      <w:r>
        <w:rPr>
          <w:rFonts w:hint="eastAsia" w:ascii="仿宋_GB2312" w:eastAsia="仿宋_GB2312"/>
          <w:sz w:val="32"/>
          <w:szCs w:val="32"/>
          <w:highlight w:val="none"/>
          <w:u w:val="none" w:color="auto"/>
        </w:rPr>
        <w:t>可根据本地区实际情况，在年度预算中安排一定资金，与上级补助资金一并使用。资源枯竭城市转移支付资金不要求县级财政配套。</w:t>
      </w:r>
    </w:p>
    <w:p>
      <w:pPr>
        <w:pageBreakBefore w:val="0"/>
        <w:widowControl w:val="0"/>
        <w:kinsoku/>
        <w:wordWrap/>
        <w:overflowPunct/>
        <w:topLinePunct w:val="0"/>
        <w:autoSpaceDE/>
        <w:autoSpaceDN/>
        <w:bidi w:val="0"/>
        <w:adjustRightInd w:val="0"/>
        <w:snapToGrid w:val="0"/>
        <w:spacing w:line="356" w:lineRule="auto"/>
        <w:ind w:firstLine="643" w:firstLineChars="200"/>
        <w:textAlignment w:val="auto"/>
        <w:rPr>
          <w:rFonts w:hint="eastAsia" w:ascii="仿宋_GB2312" w:eastAsia="仿宋_GB2312"/>
          <w:sz w:val="32"/>
          <w:szCs w:val="32"/>
          <w:highlight w:val="none"/>
          <w:u w:val="none" w:color="auto"/>
        </w:rPr>
      </w:pPr>
      <w:r>
        <w:rPr>
          <w:rFonts w:hint="eastAsia" w:ascii="仿宋_GB2312" w:eastAsia="仿宋_GB2312"/>
          <w:b/>
          <w:sz w:val="32"/>
          <w:szCs w:val="32"/>
          <w:highlight w:val="none"/>
          <w:u w:val="none" w:color="auto"/>
        </w:rPr>
        <w:t>第</w:t>
      </w:r>
      <w:r>
        <w:rPr>
          <w:rFonts w:hint="eastAsia" w:ascii="仿宋_GB2312"/>
          <w:b/>
          <w:sz w:val="32"/>
          <w:szCs w:val="32"/>
          <w:highlight w:val="none"/>
          <w:u w:val="none" w:color="auto"/>
          <w:lang w:eastAsia="zh-CN"/>
        </w:rPr>
        <w:t>九</w:t>
      </w:r>
      <w:r>
        <w:rPr>
          <w:rFonts w:hint="eastAsia" w:ascii="仿宋_GB2312" w:eastAsia="仿宋_GB2312"/>
          <w:b/>
          <w:sz w:val="32"/>
          <w:szCs w:val="32"/>
          <w:highlight w:val="none"/>
          <w:u w:val="none" w:color="auto"/>
        </w:rPr>
        <w:t>条</w:t>
      </w:r>
      <w:r>
        <w:rPr>
          <w:rFonts w:hint="eastAsia" w:ascii="仿宋_GB2312" w:eastAsia="仿宋_GB2312"/>
          <w:sz w:val="32"/>
          <w:szCs w:val="32"/>
          <w:highlight w:val="none"/>
          <w:u w:val="none" w:color="auto"/>
          <w:lang w:eastAsia="zh-CN"/>
        </w:rPr>
        <w:t xml:space="preserve">  </w:t>
      </w:r>
      <w:r>
        <w:rPr>
          <w:rFonts w:hint="eastAsia" w:ascii="仿宋_GB2312"/>
          <w:sz w:val="32"/>
          <w:szCs w:val="32"/>
          <w:highlight w:val="none"/>
          <w:u w:val="none" w:color="auto"/>
          <w:lang w:eastAsia="zh-CN"/>
        </w:rPr>
        <w:t>有关市县</w:t>
      </w:r>
      <w:r>
        <w:rPr>
          <w:rFonts w:hint="eastAsia" w:ascii="仿宋_GB2312" w:eastAsia="仿宋_GB2312"/>
          <w:sz w:val="32"/>
          <w:szCs w:val="32"/>
          <w:highlight w:val="none"/>
          <w:u w:val="none" w:color="auto"/>
        </w:rPr>
        <w:t>应将省财政提前下达资源枯竭城市转移支付资金全额列入年度预算；将省年度执行中下达的资源枯竭城市转移支付资金，按规定列入年度决算报同级人大常委会审批。</w:t>
      </w:r>
    </w:p>
    <w:p>
      <w:pPr>
        <w:pStyle w:val="2"/>
        <w:pageBreakBefore w:val="0"/>
        <w:widowControl w:val="0"/>
        <w:kinsoku/>
        <w:wordWrap/>
        <w:overflowPunct/>
        <w:topLinePunct w:val="0"/>
        <w:autoSpaceDE/>
        <w:autoSpaceDN/>
        <w:bidi w:val="0"/>
        <w:adjustRightInd w:val="0"/>
        <w:snapToGrid w:val="0"/>
        <w:spacing w:after="0" w:line="356" w:lineRule="auto"/>
        <w:ind w:firstLine="640" w:firstLineChars="200"/>
        <w:textAlignment w:val="auto"/>
        <w:rPr>
          <w:rFonts w:hint="eastAsia" w:ascii="Times New Roman" w:hAnsi="Times New Roman" w:eastAsia="仿宋_GB2312"/>
          <w:sz w:val="32"/>
          <w:szCs w:val="24"/>
          <w:highlight w:val="none"/>
          <w:u w:val="none" w:color="auto"/>
        </w:rPr>
      </w:pPr>
    </w:p>
    <w:p>
      <w:pPr>
        <w:pStyle w:val="4"/>
        <w:pageBreakBefore w:val="0"/>
        <w:widowControl w:val="0"/>
        <w:kinsoku/>
        <w:wordWrap/>
        <w:overflowPunct/>
        <w:topLinePunct w:val="0"/>
        <w:autoSpaceDE/>
        <w:autoSpaceDN/>
        <w:bidi w:val="0"/>
        <w:adjustRightInd w:val="0"/>
        <w:snapToGrid w:val="0"/>
        <w:spacing w:after="0" w:line="356" w:lineRule="auto"/>
        <w:jc w:val="center"/>
        <w:textAlignment w:val="auto"/>
        <w:rPr>
          <w:highlight w:val="none"/>
          <w:u w:val="none" w:color="auto"/>
        </w:rPr>
      </w:pPr>
      <w:r>
        <w:rPr>
          <w:rFonts w:hint="eastAsia"/>
          <w:highlight w:val="none"/>
          <w:u w:val="none" w:color="auto"/>
        </w:rPr>
        <w:t>第四章</w:t>
      </w:r>
      <w:r>
        <w:rPr>
          <w:rFonts w:hint="eastAsia"/>
          <w:highlight w:val="none"/>
          <w:u w:val="none" w:color="auto"/>
          <w:lang w:eastAsia="zh-CN"/>
        </w:rPr>
        <w:t xml:space="preserve">  </w:t>
      </w:r>
      <w:r>
        <w:rPr>
          <w:rFonts w:hint="eastAsia"/>
          <w:highlight w:val="none"/>
          <w:u w:val="none" w:color="auto"/>
        </w:rPr>
        <w:t>资金管理和使用</w:t>
      </w:r>
    </w:p>
    <w:p>
      <w:pPr>
        <w:pageBreakBefore w:val="0"/>
        <w:widowControl w:val="0"/>
        <w:kinsoku/>
        <w:wordWrap/>
        <w:overflowPunct/>
        <w:topLinePunct w:val="0"/>
        <w:autoSpaceDE/>
        <w:autoSpaceDN/>
        <w:bidi w:val="0"/>
        <w:adjustRightInd w:val="0"/>
        <w:snapToGrid w:val="0"/>
        <w:spacing w:line="356" w:lineRule="auto"/>
        <w:ind w:firstLine="643" w:firstLineChars="200"/>
        <w:textAlignment w:val="auto"/>
        <w:rPr>
          <w:rFonts w:hint="eastAsia" w:ascii="仿宋_GB2312" w:eastAsia="仿宋_GB2312"/>
          <w:sz w:val="32"/>
          <w:szCs w:val="32"/>
          <w:highlight w:val="none"/>
          <w:u w:val="none" w:color="auto"/>
        </w:rPr>
      </w:pPr>
      <w:r>
        <w:rPr>
          <w:rFonts w:hint="eastAsia" w:ascii="仿宋_GB2312" w:eastAsia="仿宋_GB2312"/>
          <w:b/>
          <w:sz w:val="32"/>
          <w:szCs w:val="32"/>
          <w:highlight w:val="none"/>
          <w:u w:val="none" w:color="auto"/>
        </w:rPr>
        <w:t>第十条</w:t>
      </w:r>
      <w:r>
        <w:rPr>
          <w:rFonts w:hint="eastAsia" w:ascii="仿宋_GB2312" w:eastAsia="仿宋_GB2312"/>
          <w:b/>
          <w:sz w:val="32"/>
          <w:szCs w:val="32"/>
          <w:highlight w:val="none"/>
          <w:u w:val="none" w:color="auto"/>
          <w:lang w:eastAsia="zh-CN"/>
        </w:rPr>
        <w:t xml:space="preserve">  </w:t>
      </w:r>
      <w:r>
        <w:rPr>
          <w:rFonts w:hint="eastAsia" w:ascii="仿宋_GB2312" w:eastAsia="仿宋_GB2312"/>
          <w:sz w:val="32"/>
          <w:szCs w:val="32"/>
          <w:highlight w:val="none"/>
          <w:u w:val="none" w:color="auto"/>
        </w:rPr>
        <w:t>资源枯竭城市转移支付资金的使用实行分级管理</w:t>
      </w:r>
      <w:r>
        <w:rPr>
          <w:rFonts w:hint="eastAsia" w:ascii="仿宋_GB2312" w:eastAsia="仿宋_GB2312"/>
          <w:sz w:val="32"/>
          <w:szCs w:val="32"/>
          <w:highlight w:val="none"/>
          <w:u w:val="none" w:color="auto"/>
          <w:lang w:eastAsia="zh-CN"/>
        </w:rPr>
        <w:t>。</w:t>
      </w:r>
      <w:r>
        <w:rPr>
          <w:rFonts w:hint="eastAsia" w:ascii="仿宋_GB2312" w:eastAsia="仿宋_GB2312"/>
          <w:sz w:val="32"/>
          <w:szCs w:val="32"/>
          <w:highlight w:val="none"/>
          <w:u w:val="none" w:color="auto"/>
        </w:rPr>
        <w:t>省财政厅负责组织实施对市县财政管理和使用转移支付资金的绩效评价和监督检查。市县财政负责向省财政报送上年度工作总结以及当年度工作计划、绩效目标和自评报告，管理、安排和使用本地区资源枯竭城市转移支付资金。</w:t>
      </w:r>
    </w:p>
    <w:p>
      <w:pPr>
        <w:pageBreakBefore w:val="0"/>
        <w:widowControl w:val="0"/>
        <w:kinsoku/>
        <w:wordWrap/>
        <w:overflowPunct/>
        <w:topLinePunct w:val="0"/>
        <w:autoSpaceDE/>
        <w:autoSpaceDN/>
        <w:bidi w:val="0"/>
        <w:adjustRightInd w:val="0"/>
        <w:snapToGrid w:val="0"/>
        <w:spacing w:line="356" w:lineRule="auto"/>
        <w:ind w:firstLine="643" w:firstLineChars="200"/>
        <w:textAlignment w:val="auto"/>
        <w:rPr>
          <w:rFonts w:hint="eastAsia" w:ascii="仿宋_GB2312" w:cs="宋体"/>
          <w:bCs/>
          <w:kern w:val="0"/>
          <w:szCs w:val="32"/>
          <w:highlight w:val="none"/>
          <w:u w:val="none" w:color="auto"/>
          <w:lang w:val="en-US" w:eastAsia="zh-CN" w:bidi="ar-SA"/>
        </w:rPr>
      </w:pPr>
      <w:r>
        <w:rPr>
          <w:rFonts w:hint="eastAsia" w:ascii="仿宋_GB2312" w:eastAsia="仿宋_GB2312"/>
          <w:b/>
          <w:sz w:val="32"/>
          <w:szCs w:val="32"/>
          <w:highlight w:val="none"/>
          <w:u w:val="none" w:color="auto"/>
        </w:rPr>
        <w:t>第十</w:t>
      </w:r>
      <w:r>
        <w:rPr>
          <w:rFonts w:hint="eastAsia" w:ascii="仿宋_GB2312"/>
          <w:b/>
          <w:sz w:val="32"/>
          <w:szCs w:val="32"/>
          <w:highlight w:val="none"/>
          <w:u w:val="none" w:color="auto"/>
          <w:lang w:eastAsia="zh-CN"/>
        </w:rPr>
        <w:t>一</w:t>
      </w:r>
      <w:r>
        <w:rPr>
          <w:rFonts w:hint="eastAsia" w:ascii="仿宋_GB2312" w:eastAsia="仿宋_GB2312"/>
          <w:b/>
          <w:sz w:val="32"/>
          <w:szCs w:val="32"/>
          <w:highlight w:val="none"/>
          <w:u w:val="none" w:color="auto"/>
        </w:rPr>
        <w:t>条</w:t>
      </w:r>
      <w:r>
        <w:rPr>
          <w:rFonts w:hint="eastAsia" w:ascii="仿宋_GB2312" w:eastAsia="仿宋_GB2312"/>
          <w:b/>
          <w:sz w:val="32"/>
          <w:szCs w:val="32"/>
          <w:highlight w:val="none"/>
          <w:u w:val="none" w:color="auto"/>
          <w:lang w:eastAsia="zh-CN"/>
        </w:rPr>
        <w:t xml:space="preserve">  </w:t>
      </w:r>
      <w:r>
        <w:rPr>
          <w:rFonts w:hint="eastAsia" w:ascii="仿宋_GB2312" w:eastAsia="仿宋_GB2312"/>
          <w:sz w:val="32"/>
          <w:szCs w:val="32"/>
          <w:highlight w:val="none"/>
          <w:u w:val="none" w:color="auto"/>
        </w:rPr>
        <w:t>资源枯竭城市转移支付资金</w:t>
      </w:r>
      <w:r>
        <w:rPr>
          <w:rFonts w:hint="eastAsia" w:ascii="仿宋_GB2312" w:eastAsia="仿宋_GB2312"/>
          <w:sz w:val="32"/>
          <w:szCs w:val="32"/>
          <w:highlight w:val="none"/>
          <w:u w:val="none" w:color="auto"/>
          <w:lang w:eastAsia="zh-CN"/>
        </w:rPr>
        <w:t>主要</w:t>
      </w:r>
      <w:r>
        <w:rPr>
          <w:rFonts w:hint="eastAsia" w:ascii="仿宋_GB2312" w:eastAsia="仿宋_GB2312"/>
          <w:sz w:val="32"/>
          <w:szCs w:val="32"/>
          <w:highlight w:val="none"/>
          <w:u w:val="none" w:color="auto"/>
        </w:rPr>
        <w:t>用于解决</w:t>
      </w:r>
      <w:r>
        <w:rPr>
          <w:rFonts w:hint="eastAsia" w:ascii="仿宋_GB2312" w:eastAsia="仿宋_GB2312" w:cs="Times New Roman"/>
          <w:sz w:val="32"/>
          <w:szCs w:val="32"/>
          <w:highlight w:val="none"/>
          <w:u w:val="none" w:color="auto"/>
          <w:lang w:val="en-US" w:eastAsia="zh-CN" w:bidi="ar-SA"/>
        </w:rPr>
        <w:t>本地因资源开发产生的社保欠账、环境保护</w:t>
      </w:r>
      <w:r>
        <w:rPr>
          <w:rFonts w:hint="eastAsia" w:ascii="仿宋_GB2312" w:cs="Times New Roman"/>
          <w:sz w:val="32"/>
          <w:szCs w:val="32"/>
          <w:highlight w:val="none"/>
          <w:u w:val="none" w:color="auto"/>
          <w:lang w:val="en-US" w:eastAsia="zh-CN" w:bidi="ar-SA"/>
        </w:rPr>
        <w:t>修复</w:t>
      </w:r>
      <w:r>
        <w:rPr>
          <w:rFonts w:hint="eastAsia" w:ascii="仿宋_GB2312" w:eastAsia="仿宋_GB2312" w:cs="Times New Roman"/>
          <w:sz w:val="32"/>
          <w:szCs w:val="32"/>
          <w:highlight w:val="none"/>
          <w:u w:val="none" w:color="auto"/>
          <w:lang w:val="en-US" w:eastAsia="zh-CN" w:bidi="ar-SA"/>
        </w:rPr>
        <w:t>、棚户区</w:t>
      </w:r>
      <w:r>
        <w:rPr>
          <w:rFonts w:hint="eastAsia" w:ascii="仿宋_GB2312" w:cs="Times New Roman"/>
          <w:sz w:val="32"/>
          <w:szCs w:val="32"/>
          <w:highlight w:val="none"/>
          <w:u w:val="none" w:color="auto"/>
          <w:lang w:val="en-US" w:eastAsia="zh-CN" w:bidi="ar-SA"/>
        </w:rPr>
        <w:t>搬迁</w:t>
      </w:r>
      <w:r>
        <w:rPr>
          <w:rFonts w:hint="eastAsia" w:ascii="仿宋_GB2312" w:eastAsia="仿宋_GB2312" w:cs="Times New Roman"/>
          <w:sz w:val="32"/>
          <w:szCs w:val="32"/>
          <w:highlight w:val="none"/>
          <w:u w:val="none" w:color="auto"/>
          <w:lang w:val="en-US" w:eastAsia="zh-CN" w:bidi="ar-SA"/>
        </w:rPr>
        <w:t>改造</w:t>
      </w:r>
      <w:r>
        <w:rPr>
          <w:rFonts w:hint="eastAsia" w:ascii="仿宋_GB2312" w:cs="Times New Roman"/>
          <w:sz w:val="32"/>
          <w:szCs w:val="32"/>
          <w:highlight w:val="none"/>
          <w:u w:val="none" w:color="auto"/>
          <w:lang w:val="en-US" w:eastAsia="zh-CN" w:bidi="ar-SA"/>
        </w:rPr>
        <w:t>、塌陷区治理、</w:t>
      </w:r>
      <w:r>
        <w:rPr>
          <w:rFonts w:hint="eastAsia" w:ascii="仿宋_GB2312" w:eastAsia="仿宋_GB2312" w:cs="Times New Roman"/>
          <w:sz w:val="32"/>
          <w:szCs w:val="32"/>
          <w:highlight w:val="none"/>
          <w:u w:val="none" w:color="auto"/>
          <w:lang w:val="en-US" w:eastAsia="zh-CN" w:bidi="ar-SA"/>
        </w:rPr>
        <w:t>矿业权退出</w:t>
      </w:r>
      <w:r>
        <w:rPr>
          <w:rFonts w:hint="eastAsia" w:ascii="仿宋_GB2312" w:cs="Times New Roman"/>
          <w:sz w:val="32"/>
          <w:szCs w:val="32"/>
          <w:highlight w:val="none"/>
          <w:u w:val="none" w:color="auto"/>
          <w:lang w:val="en-US" w:eastAsia="zh-CN" w:bidi="ar-SA"/>
        </w:rPr>
        <w:t>和</w:t>
      </w:r>
      <w:r>
        <w:rPr>
          <w:rFonts w:hint="eastAsia" w:ascii="仿宋_GB2312" w:eastAsia="仿宋_GB2312" w:cs="Times New Roman"/>
          <w:sz w:val="32"/>
          <w:szCs w:val="32"/>
          <w:highlight w:val="none"/>
          <w:u w:val="none" w:color="auto"/>
          <w:lang w:val="en-US" w:eastAsia="zh-CN" w:bidi="ar-SA"/>
        </w:rPr>
        <w:t>公共基础设施建设等历史遗留问题</w:t>
      </w:r>
      <w:r>
        <w:rPr>
          <w:rFonts w:hint="eastAsia" w:ascii="仿宋_GB2312" w:cs="Times New Roman"/>
          <w:sz w:val="32"/>
          <w:szCs w:val="32"/>
          <w:highlight w:val="none"/>
          <w:u w:val="none" w:color="auto"/>
          <w:lang w:val="en-US" w:eastAsia="zh-CN" w:bidi="ar-SA"/>
        </w:rPr>
        <w:t>和化解民生政策欠账，推动传统产业转型升级，探索“厂区变园区、产区变城区”，加快发展绿色矿业等。</w:t>
      </w:r>
      <w:r>
        <w:rPr>
          <w:rFonts w:hint="eastAsia" w:ascii="仿宋_GB2312" w:cs="宋体"/>
          <w:bCs/>
          <w:kern w:val="0"/>
          <w:szCs w:val="32"/>
          <w:highlight w:val="none"/>
          <w:u w:val="none" w:color="auto"/>
          <w:lang w:val="en-US" w:eastAsia="zh-CN" w:bidi="ar-SA"/>
        </w:rPr>
        <w:t>在优先用于上述中央及省规定用途后，可由当地统筹使用。</w:t>
      </w:r>
    </w:p>
    <w:p>
      <w:pPr>
        <w:pageBreakBefore w:val="0"/>
        <w:widowControl w:val="0"/>
        <w:kinsoku/>
        <w:wordWrap/>
        <w:overflowPunct/>
        <w:topLinePunct w:val="0"/>
        <w:autoSpaceDE/>
        <w:autoSpaceDN/>
        <w:bidi w:val="0"/>
        <w:adjustRightInd w:val="0"/>
        <w:snapToGrid w:val="0"/>
        <w:spacing w:line="356" w:lineRule="auto"/>
        <w:ind w:firstLine="643" w:firstLineChars="200"/>
        <w:textAlignment w:val="auto"/>
        <w:rPr>
          <w:rFonts w:hint="eastAsia" w:ascii="仿宋_GB2312" w:eastAsia="仿宋_GB2312"/>
          <w:sz w:val="32"/>
          <w:szCs w:val="32"/>
          <w:highlight w:val="none"/>
          <w:u w:val="none" w:color="auto"/>
        </w:rPr>
      </w:pPr>
      <w:r>
        <w:rPr>
          <w:rFonts w:hint="eastAsia" w:ascii="仿宋_GB2312" w:eastAsia="仿宋_GB2312"/>
          <w:b/>
          <w:sz w:val="32"/>
          <w:szCs w:val="32"/>
          <w:highlight w:val="none"/>
          <w:u w:val="none" w:color="auto"/>
        </w:rPr>
        <w:t>第十</w:t>
      </w:r>
      <w:r>
        <w:rPr>
          <w:rFonts w:hint="eastAsia" w:ascii="仿宋_GB2312"/>
          <w:b/>
          <w:sz w:val="32"/>
          <w:szCs w:val="32"/>
          <w:highlight w:val="none"/>
          <w:u w:val="none" w:color="auto"/>
          <w:lang w:eastAsia="zh-CN"/>
        </w:rPr>
        <w:t>二</w:t>
      </w:r>
      <w:r>
        <w:rPr>
          <w:rFonts w:hint="eastAsia" w:ascii="仿宋_GB2312" w:eastAsia="仿宋_GB2312"/>
          <w:b/>
          <w:sz w:val="32"/>
          <w:szCs w:val="32"/>
          <w:highlight w:val="none"/>
          <w:u w:val="none" w:color="auto"/>
        </w:rPr>
        <w:t>条</w:t>
      </w:r>
      <w:r>
        <w:rPr>
          <w:rFonts w:hint="eastAsia" w:ascii="仿宋_GB2312" w:eastAsia="仿宋_GB2312"/>
          <w:sz w:val="32"/>
          <w:szCs w:val="32"/>
          <w:highlight w:val="none"/>
          <w:u w:val="none" w:color="auto"/>
          <w:lang w:eastAsia="zh-CN"/>
        </w:rPr>
        <w:t xml:space="preserve">  </w:t>
      </w:r>
      <w:r>
        <w:rPr>
          <w:rFonts w:hint="eastAsia" w:ascii="仿宋_GB2312" w:eastAsia="仿宋_GB2312"/>
          <w:sz w:val="32"/>
          <w:szCs w:val="32"/>
          <w:highlight w:val="none"/>
          <w:u w:val="none" w:color="auto"/>
        </w:rPr>
        <w:t>资源枯竭转移支付资金不得用于违规提高人员经费和公用经费标准，不得用于违规增加“三公”经费支出，</w:t>
      </w:r>
      <w:r>
        <w:rPr>
          <w:rFonts w:hint="eastAsia" w:ascii="仿宋_GB2312"/>
          <w:sz w:val="32"/>
          <w:szCs w:val="32"/>
          <w:highlight w:val="none"/>
          <w:u w:val="none" w:color="auto"/>
          <w:lang w:eastAsia="zh-CN"/>
        </w:rPr>
        <w:t>不得用于</w:t>
      </w:r>
      <w:r>
        <w:rPr>
          <w:rFonts w:hint="eastAsia" w:ascii="仿宋_GB2312" w:eastAsia="仿宋_GB2312"/>
          <w:sz w:val="32"/>
          <w:szCs w:val="32"/>
          <w:highlight w:val="none"/>
          <w:u w:val="none" w:color="auto"/>
        </w:rPr>
        <w:t>超标准装修办公用房，不得用于政府性楼堂馆所</w:t>
      </w:r>
      <w:r>
        <w:rPr>
          <w:rFonts w:hint="eastAsia" w:ascii="仿宋_GB2312" w:cs="Times New Roman"/>
          <w:sz w:val="32"/>
          <w:szCs w:val="32"/>
          <w:highlight w:val="none"/>
          <w:u w:val="none" w:color="auto"/>
          <w:lang w:val="en-US" w:eastAsia="zh-CN" w:bidi="ar-SA"/>
        </w:rPr>
        <w:t>等中央明令禁止的项目支出，</w:t>
      </w:r>
      <w:r>
        <w:rPr>
          <w:rFonts w:hint="eastAsia" w:ascii="仿宋_GB2312" w:eastAsia="仿宋_GB2312"/>
          <w:sz w:val="32"/>
          <w:szCs w:val="32"/>
          <w:highlight w:val="none"/>
          <w:u w:val="none" w:color="auto"/>
        </w:rPr>
        <w:t>不得用于劳民伤财的“形象工程”和“政绩工程”建设以及不符合资源枯竭转移支付资金使用原则及范围的其他开支。</w:t>
      </w:r>
    </w:p>
    <w:p>
      <w:pPr>
        <w:pStyle w:val="3"/>
        <w:pageBreakBefore w:val="0"/>
        <w:widowControl w:val="0"/>
        <w:kinsoku/>
        <w:wordWrap/>
        <w:overflowPunct/>
        <w:topLinePunct w:val="0"/>
        <w:autoSpaceDE/>
        <w:autoSpaceDN/>
        <w:bidi w:val="0"/>
        <w:adjustRightInd w:val="0"/>
        <w:snapToGrid w:val="0"/>
        <w:spacing w:after="0" w:line="356" w:lineRule="auto"/>
        <w:textAlignment w:val="auto"/>
        <w:outlineLvl w:val="9"/>
        <w:rPr>
          <w:rFonts w:hint="eastAsia"/>
          <w:highlight w:val="none"/>
          <w:u w:val="none" w:color="auto"/>
        </w:rPr>
      </w:pPr>
    </w:p>
    <w:p>
      <w:pPr>
        <w:pStyle w:val="4"/>
        <w:pageBreakBefore w:val="0"/>
        <w:widowControl w:val="0"/>
        <w:kinsoku/>
        <w:wordWrap/>
        <w:overflowPunct/>
        <w:topLinePunct w:val="0"/>
        <w:autoSpaceDE/>
        <w:autoSpaceDN/>
        <w:bidi w:val="0"/>
        <w:adjustRightInd w:val="0"/>
        <w:snapToGrid w:val="0"/>
        <w:spacing w:after="0" w:line="356" w:lineRule="auto"/>
        <w:jc w:val="center"/>
        <w:textAlignment w:val="auto"/>
        <w:rPr>
          <w:highlight w:val="none"/>
          <w:u w:val="none" w:color="auto"/>
        </w:rPr>
      </w:pPr>
      <w:r>
        <w:rPr>
          <w:rFonts w:hint="eastAsia"/>
          <w:highlight w:val="none"/>
          <w:u w:val="none" w:color="auto"/>
        </w:rPr>
        <w:t>第五章</w:t>
      </w:r>
      <w:r>
        <w:rPr>
          <w:rFonts w:hint="eastAsia"/>
          <w:highlight w:val="none"/>
          <w:u w:val="none" w:color="auto"/>
          <w:lang w:eastAsia="zh-CN"/>
        </w:rPr>
        <w:t xml:space="preserve">  </w:t>
      </w:r>
      <w:r>
        <w:rPr>
          <w:rFonts w:hint="eastAsia"/>
          <w:highlight w:val="none"/>
          <w:u w:val="none" w:color="auto"/>
        </w:rPr>
        <w:t>绩效评价</w:t>
      </w:r>
    </w:p>
    <w:p>
      <w:pPr>
        <w:pageBreakBefore w:val="0"/>
        <w:widowControl w:val="0"/>
        <w:kinsoku/>
        <w:wordWrap/>
        <w:overflowPunct/>
        <w:topLinePunct w:val="0"/>
        <w:autoSpaceDE/>
        <w:autoSpaceDN/>
        <w:bidi w:val="0"/>
        <w:adjustRightInd w:val="0"/>
        <w:snapToGrid w:val="0"/>
        <w:spacing w:line="356" w:lineRule="auto"/>
        <w:ind w:firstLine="643" w:firstLineChars="200"/>
        <w:textAlignment w:val="auto"/>
        <w:rPr>
          <w:rFonts w:hint="eastAsia" w:ascii="仿宋_GB2312" w:eastAsia="仿宋_GB2312"/>
          <w:sz w:val="32"/>
          <w:szCs w:val="32"/>
          <w:highlight w:val="none"/>
          <w:u w:val="none" w:color="auto"/>
        </w:rPr>
      </w:pPr>
      <w:r>
        <w:rPr>
          <w:rFonts w:hint="eastAsia" w:ascii="仿宋_GB2312" w:eastAsia="仿宋_GB2312"/>
          <w:b/>
          <w:sz w:val="32"/>
          <w:szCs w:val="32"/>
          <w:highlight w:val="none"/>
          <w:u w:val="none" w:color="auto"/>
        </w:rPr>
        <w:t>第十</w:t>
      </w:r>
      <w:r>
        <w:rPr>
          <w:rFonts w:hint="eastAsia" w:ascii="仿宋_GB2312"/>
          <w:b/>
          <w:sz w:val="32"/>
          <w:szCs w:val="32"/>
          <w:highlight w:val="none"/>
          <w:u w:val="none" w:color="auto"/>
          <w:lang w:eastAsia="zh-CN"/>
        </w:rPr>
        <w:t>三</w:t>
      </w:r>
      <w:r>
        <w:rPr>
          <w:rFonts w:hint="eastAsia" w:ascii="仿宋_GB2312" w:eastAsia="仿宋_GB2312"/>
          <w:b/>
          <w:sz w:val="32"/>
          <w:szCs w:val="32"/>
          <w:highlight w:val="none"/>
          <w:u w:val="none" w:color="auto"/>
        </w:rPr>
        <w:t>条</w:t>
      </w:r>
      <w:r>
        <w:rPr>
          <w:rFonts w:hint="eastAsia" w:ascii="仿宋_GB2312" w:eastAsia="仿宋_GB2312"/>
          <w:sz w:val="32"/>
          <w:szCs w:val="32"/>
          <w:highlight w:val="none"/>
          <w:u w:val="none" w:color="auto"/>
          <w:lang w:eastAsia="zh-CN"/>
        </w:rPr>
        <w:t xml:space="preserve">  </w:t>
      </w:r>
      <w:r>
        <w:rPr>
          <w:rFonts w:hint="eastAsia" w:ascii="仿宋_GB2312"/>
          <w:sz w:val="32"/>
          <w:szCs w:val="32"/>
          <w:highlight w:val="none"/>
          <w:u w:val="none" w:color="auto"/>
          <w:lang w:eastAsia="zh-CN"/>
        </w:rPr>
        <w:t>有关市县</w:t>
      </w:r>
      <w:r>
        <w:rPr>
          <w:rFonts w:hint="eastAsia" w:ascii="仿宋_GB2312" w:eastAsia="仿宋_GB2312"/>
          <w:sz w:val="32"/>
          <w:szCs w:val="32"/>
          <w:highlight w:val="none"/>
          <w:u w:val="none" w:color="auto"/>
        </w:rPr>
        <w:t>应按照《转发财政部关于印发〈资源枯竭城市绩效评价暂行办法〉的通知》（</w:t>
      </w:r>
      <w:r>
        <w:rPr>
          <w:rFonts w:hint="eastAsia" w:ascii="仿宋_GB2312" w:eastAsia="仿宋_GB2312"/>
          <w:sz w:val="32"/>
          <w:szCs w:val="32"/>
          <w:highlight w:val="none"/>
          <w:u w:val="none" w:color="auto"/>
          <w:lang w:eastAsia="zh-CN"/>
        </w:rPr>
        <w:t>粤</w:t>
      </w:r>
      <w:r>
        <w:rPr>
          <w:rFonts w:hint="eastAsia" w:ascii="仿宋_GB2312" w:eastAsia="仿宋_GB2312"/>
          <w:sz w:val="32"/>
          <w:szCs w:val="32"/>
          <w:highlight w:val="none"/>
          <w:u w:val="none" w:color="auto"/>
        </w:rPr>
        <w:t>财评〔2011〕59号</w:t>
      </w:r>
      <w:r>
        <w:rPr>
          <w:rFonts w:hint="eastAsia" w:ascii="仿宋_GB2312"/>
          <w:sz w:val="32"/>
          <w:szCs w:val="32"/>
          <w:highlight w:val="none"/>
          <w:u w:val="none" w:color="auto"/>
          <w:lang w:eastAsia="zh-CN"/>
        </w:rPr>
        <w:t>）</w:t>
      </w:r>
      <w:r>
        <w:rPr>
          <w:rFonts w:hint="eastAsia" w:ascii="仿宋_GB2312" w:eastAsia="仿宋_GB2312"/>
          <w:color w:val="auto"/>
          <w:sz w:val="32"/>
          <w:szCs w:val="32"/>
          <w:highlight w:val="none"/>
          <w:u w:val="none" w:color="auto"/>
        </w:rPr>
        <w:t>规</w:t>
      </w:r>
      <w:r>
        <w:rPr>
          <w:rFonts w:hint="eastAsia" w:ascii="仿宋_GB2312" w:eastAsia="仿宋_GB2312"/>
          <w:sz w:val="32"/>
          <w:szCs w:val="32"/>
          <w:highlight w:val="none"/>
          <w:u w:val="none" w:color="auto"/>
        </w:rPr>
        <w:t>定，加强对项目执行情况和资源枯竭城市转移支付资金使用情况的追踪问效，严格按照规定的程序、内容和要求做好绩效管理工作。</w:t>
      </w:r>
    </w:p>
    <w:p>
      <w:pPr>
        <w:pageBreakBefore w:val="0"/>
        <w:widowControl w:val="0"/>
        <w:kinsoku/>
        <w:wordWrap/>
        <w:overflowPunct/>
        <w:topLinePunct w:val="0"/>
        <w:autoSpaceDE/>
        <w:autoSpaceDN/>
        <w:bidi w:val="0"/>
        <w:adjustRightInd w:val="0"/>
        <w:snapToGrid w:val="0"/>
        <w:spacing w:line="356" w:lineRule="auto"/>
        <w:ind w:firstLine="643" w:firstLineChars="200"/>
        <w:textAlignment w:val="auto"/>
        <w:rPr>
          <w:rFonts w:hint="eastAsia" w:ascii="仿宋_GB2312" w:eastAsia="仿宋_GB2312"/>
          <w:sz w:val="32"/>
          <w:szCs w:val="32"/>
          <w:highlight w:val="none"/>
          <w:u w:val="none" w:color="auto"/>
        </w:rPr>
      </w:pPr>
      <w:r>
        <w:rPr>
          <w:rFonts w:hint="eastAsia" w:ascii="仿宋_GB2312" w:eastAsia="仿宋_GB2312"/>
          <w:b/>
          <w:sz w:val="32"/>
          <w:szCs w:val="32"/>
          <w:highlight w:val="none"/>
          <w:u w:val="none" w:color="auto"/>
        </w:rPr>
        <w:t>第十</w:t>
      </w:r>
      <w:r>
        <w:rPr>
          <w:rFonts w:hint="eastAsia" w:ascii="仿宋_GB2312"/>
          <w:b/>
          <w:sz w:val="32"/>
          <w:szCs w:val="32"/>
          <w:highlight w:val="none"/>
          <w:u w:val="none" w:color="auto"/>
          <w:lang w:eastAsia="zh-CN"/>
        </w:rPr>
        <w:t>四</w:t>
      </w:r>
      <w:r>
        <w:rPr>
          <w:rFonts w:hint="eastAsia" w:ascii="仿宋_GB2312" w:eastAsia="仿宋_GB2312"/>
          <w:b/>
          <w:sz w:val="32"/>
          <w:szCs w:val="32"/>
          <w:highlight w:val="none"/>
          <w:u w:val="none" w:color="auto"/>
        </w:rPr>
        <w:t>条</w:t>
      </w:r>
      <w:r>
        <w:rPr>
          <w:rFonts w:hint="eastAsia" w:ascii="仿宋_GB2312" w:eastAsia="仿宋_GB2312"/>
          <w:sz w:val="32"/>
          <w:szCs w:val="32"/>
          <w:highlight w:val="none"/>
          <w:u w:val="none" w:color="auto"/>
          <w:lang w:eastAsia="zh-CN"/>
        </w:rPr>
        <w:t xml:space="preserve">  </w:t>
      </w:r>
      <w:r>
        <w:rPr>
          <w:rFonts w:hint="eastAsia" w:ascii="仿宋_GB2312" w:eastAsia="仿宋_GB2312"/>
          <w:sz w:val="32"/>
          <w:szCs w:val="32"/>
          <w:highlight w:val="none"/>
          <w:u w:val="none" w:color="auto"/>
        </w:rPr>
        <w:t>绩效目标申报。对于省财政提前下达以及年度中间新增下达的资源枯竭城市转移支付资金，</w:t>
      </w:r>
      <w:r>
        <w:rPr>
          <w:rFonts w:hint="eastAsia" w:ascii="仿宋_GB2312"/>
          <w:sz w:val="32"/>
          <w:szCs w:val="32"/>
          <w:highlight w:val="none"/>
          <w:u w:val="none" w:color="auto"/>
          <w:lang w:eastAsia="zh-CN"/>
        </w:rPr>
        <w:t>有关市县</w:t>
      </w:r>
      <w:r>
        <w:rPr>
          <w:rFonts w:hint="eastAsia" w:ascii="仿宋_GB2312" w:eastAsia="仿宋_GB2312"/>
          <w:sz w:val="32"/>
          <w:szCs w:val="32"/>
          <w:highlight w:val="none"/>
          <w:u w:val="none" w:color="auto"/>
        </w:rPr>
        <w:t>财政局应制定资源枯竭城市转移支付资金使用计划，并填报绩效目标申报书，分别于上一年度12月30日前、省财政下达当年新增资金15个工作日内将绩效目标申报书上报省财政厅。</w:t>
      </w:r>
    </w:p>
    <w:p>
      <w:pPr>
        <w:pageBreakBefore w:val="0"/>
        <w:widowControl w:val="0"/>
        <w:kinsoku/>
        <w:wordWrap/>
        <w:overflowPunct/>
        <w:topLinePunct w:val="0"/>
        <w:autoSpaceDE/>
        <w:autoSpaceDN/>
        <w:bidi w:val="0"/>
        <w:adjustRightInd w:val="0"/>
        <w:snapToGrid w:val="0"/>
        <w:spacing w:line="356" w:lineRule="auto"/>
        <w:ind w:firstLine="640" w:firstLineChars="200"/>
        <w:textAlignment w:val="auto"/>
        <w:rPr>
          <w:rFonts w:hint="eastAsia" w:ascii="仿宋_GB2312" w:eastAsia="仿宋_GB2312"/>
          <w:sz w:val="32"/>
          <w:szCs w:val="32"/>
          <w:highlight w:val="none"/>
          <w:u w:val="none" w:color="auto"/>
        </w:rPr>
      </w:pPr>
      <w:r>
        <w:rPr>
          <w:rFonts w:hint="eastAsia" w:ascii="仿宋_GB2312" w:eastAsia="仿宋_GB2312"/>
          <w:sz w:val="32"/>
          <w:szCs w:val="32"/>
          <w:highlight w:val="none"/>
          <w:u w:val="none" w:color="auto"/>
        </w:rPr>
        <w:t>省财政厅汇总审核</w:t>
      </w:r>
      <w:r>
        <w:rPr>
          <w:rFonts w:hint="eastAsia" w:ascii="仿宋_GB2312"/>
          <w:sz w:val="32"/>
          <w:szCs w:val="32"/>
          <w:highlight w:val="none"/>
          <w:u w:val="none" w:color="auto"/>
          <w:lang w:eastAsia="zh-CN"/>
        </w:rPr>
        <w:t>有关市县</w:t>
      </w:r>
      <w:r>
        <w:rPr>
          <w:rFonts w:hint="eastAsia" w:ascii="仿宋_GB2312" w:eastAsia="仿宋_GB2312"/>
          <w:sz w:val="32"/>
          <w:szCs w:val="32"/>
          <w:highlight w:val="none"/>
          <w:u w:val="none" w:color="auto"/>
        </w:rPr>
        <w:t>财政局上报的绩效目标后</w:t>
      </w:r>
      <w:r>
        <w:rPr>
          <w:rFonts w:hint="eastAsia" w:ascii="仿宋_GB2312" w:cs="宋体"/>
          <w:bCs/>
          <w:kern w:val="0"/>
          <w:szCs w:val="32"/>
          <w:highlight w:val="none"/>
          <w:u w:val="none" w:color="auto"/>
          <w:lang w:val="en-US" w:eastAsia="zh-CN" w:bidi="ar-SA"/>
        </w:rPr>
        <w:t>根据财政部统一要求上报财政部备案。</w:t>
      </w:r>
    </w:p>
    <w:p>
      <w:pPr>
        <w:pageBreakBefore w:val="0"/>
        <w:widowControl w:val="0"/>
        <w:kinsoku/>
        <w:wordWrap/>
        <w:overflowPunct/>
        <w:topLinePunct w:val="0"/>
        <w:autoSpaceDE/>
        <w:autoSpaceDN/>
        <w:bidi w:val="0"/>
        <w:adjustRightInd w:val="0"/>
        <w:snapToGrid w:val="0"/>
        <w:spacing w:line="356" w:lineRule="auto"/>
        <w:ind w:firstLine="643" w:firstLineChars="200"/>
        <w:textAlignment w:val="auto"/>
        <w:rPr>
          <w:rFonts w:hint="eastAsia" w:ascii="仿宋_GB2312" w:eastAsia="仿宋_GB2312"/>
          <w:sz w:val="32"/>
          <w:szCs w:val="32"/>
          <w:highlight w:val="none"/>
          <w:u w:val="none" w:color="auto"/>
        </w:rPr>
      </w:pPr>
      <w:r>
        <w:rPr>
          <w:rFonts w:hint="eastAsia" w:ascii="仿宋_GB2312" w:eastAsia="仿宋_GB2312"/>
          <w:b/>
          <w:sz w:val="32"/>
          <w:szCs w:val="32"/>
          <w:highlight w:val="none"/>
          <w:u w:val="none" w:color="auto"/>
        </w:rPr>
        <w:t>第十</w:t>
      </w:r>
      <w:r>
        <w:rPr>
          <w:rFonts w:hint="eastAsia" w:ascii="仿宋_GB2312"/>
          <w:b/>
          <w:sz w:val="32"/>
          <w:szCs w:val="32"/>
          <w:highlight w:val="none"/>
          <w:u w:val="none" w:color="auto"/>
          <w:lang w:eastAsia="zh-CN"/>
        </w:rPr>
        <w:t>五</w:t>
      </w:r>
      <w:r>
        <w:rPr>
          <w:rFonts w:hint="eastAsia" w:ascii="仿宋_GB2312" w:eastAsia="仿宋_GB2312"/>
          <w:b/>
          <w:sz w:val="32"/>
          <w:szCs w:val="32"/>
          <w:highlight w:val="none"/>
          <w:u w:val="none" w:color="auto"/>
        </w:rPr>
        <w:t>条</w:t>
      </w:r>
      <w:r>
        <w:rPr>
          <w:rFonts w:hint="eastAsia" w:ascii="仿宋_GB2312" w:eastAsia="仿宋_GB2312"/>
          <w:sz w:val="32"/>
          <w:szCs w:val="32"/>
          <w:highlight w:val="none"/>
          <w:u w:val="none" w:color="auto"/>
          <w:lang w:eastAsia="zh-CN"/>
        </w:rPr>
        <w:t xml:space="preserve">  </w:t>
      </w:r>
      <w:r>
        <w:rPr>
          <w:rFonts w:hint="eastAsia" w:ascii="仿宋_GB2312" w:eastAsia="仿宋_GB2312"/>
          <w:sz w:val="32"/>
          <w:szCs w:val="32"/>
          <w:highlight w:val="none"/>
          <w:u w:val="none" w:color="auto"/>
        </w:rPr>
        <w:t>绩效评价。预算年度执行完毕后，</w:t>
      </w:r>
      <w:r>
        <w:rPr>
          <w:rFonts w:hint="eastAsia" w:ascii="仿宋_GB2312"/>
          <w:sz w:val="32"/>
          <w:szCs w:val="32"/>
          <w:highlight w:val="none"/>
          <w:u w:val="none" w:color="auto"/>
          <w:lang w:eastAsia="zh-CN"/>
        </w:rPr>
        <w:t>有关市县</w:t>
      </w:r>
      <w:r>
        <w:rPr>
          <w:rFonts w:hint="eastAsia" w:ascii="仿宋_GB2312" w:eastAsia="仿宋_GB2312"/>
          <w:sz w:val="32"/>
          <w:szCs w:val="32"/>
          <w:highlight w:val="none"/>
          <w:u w:val="none" w:color="auto"/>
        </w:rPr>
        <w:t>财政局对转移支付资金使用情况进行自评，评价资金管理情况、绩效目标完成情况，分析存在的问题，并形成自评报告，于2月15日前上报省财政厅。</w:t>
      </w:r>
    </w:p>
    <w:p>
      <w:pPr>
        <w:pageBreakBefore w:val="0"/>
        <w:widowControl w:val="0"/>
        <w:kinsoku/>
        <w:wordWrap/>
        <w:overflowPunct/>
        <w:topLinePunct w:val="0"/>
        <w:autoSpaceDE/>
        <w:autoSpaceDN/>
        <w:bidi w:val="0"/>
        <w:adjustRightInd w:val="0"/>
        <w:snapToGrid w:val="0"/>
        <w:spacing w:line="356" w:lineRule="auto"/>
        <w:ind w:firstLine="640" w:firstLineChars="200"/>
        <w:textAlignment w:val="auto"/>
        <w:rPr>
          <w:rFonts w:hint="eastAsia" w:ascii="仿宋_GB2312" w:eastAsia="仿宋_GB2312"/>
          <w:sz w:val="32"/>
          <w:szCs w:val="32"/>
          <w:highlight w:val="none"/>
          <w:u w:val="none" w:color="auto"/>
        </w:rPr>
      </w:pPr>
      <w:r>
        <w:rPr>
          <w:rFonts w:hint="eastAsia" w:ascii="仿宋_GB2312" w:eastAsia="仿宋_GB2312"/>
          <w:sz w:val="32"/>
          <w:szCs w:val="32"/>
          <w:highlight w:val="none"/>
          <w:u w:val="none" w:color="auto"/>
        </w:rPr>
        <w:t>省财政厅汇总分析</w:t>
      </w:r>
      <w:r>
        <w:rPr>
          <w:rFonts w:hint="eastAsia" w:ascii="仿宋_GB2312"/>
          <w:sz w:val="32"/>
          <w:szCs w:val="32"/>
          <w:highlight w:val="none"/>
          <w:u w:val="none" w:color="auto"/>
          <w:lang w:eastAsia="zh-CN"/>
        </w:rPr>
        <w:t>有关市县</w:t>
      </w:r>
      <w:r>
        <w:rPr>
          <w:rFonts w:hint="eastAsia" w:ascii="仿宋_GB2312" w:eastAsia="仿宋_GB2312"/>
          <w:sz w:val="32"/>
          <w:szCs w:val="32"/>
          <w:highlight w:val="none"/>
          <w:u w:val="none" w:color="auto"/>
        </w:rPr>
        <w:t>财政局自评报告，对省财政资金分配、下达、管理等情况进行自评，形成全省自评报告上报财政部。</w:t>
      </w:r>
    </w:p>
    <w:p>
      <w:pPr>
        <w:pageBreakBefore w:val="0"/>
        <w:widowControl w:val="0"/>
        <w:kinsoku/>
        <w:wordWrap/>
        <w:overflowPunct/>
        <w:topLinePunct w:val="0"/>
        <w:autoSpaceDE/>
        <w:autoSpaceDN/>
        <w:bidi w:val="0"/>
        <w:adjustRightInd w:val="0"/>
        <w:snapToGrid w:val="0"/>
        <w:spacing w:line="356" w:lineRule="auto"/>
        <w:ind w:firstLine="643" w:firstLineChars="200"/>
        <w:textAlignment w:val="auto"/>
        <w:rPr>
          <w:rFonts w:hint="eastAsia" w:ascii="仿宋_GB2312" w:eastAsia="仿宋_GB2312"/>
          <w:sz w:val="32"/>
          <w:szCs w:val="32"/>
          <w:highlight w:val="none"/>
          <w:u w:val="none" w:color="auto"/>
        </w:rPr>
      </w:pPr>
      <w:r>
        <w:rPr>
          <w:rFonts w:hint="eastAsia" w:ascii="仿宋_GB2312" w:eastAsia="仿宋_GB2312"/>
          <w:b/>
          <w:sz w:val="32"/>
          <w:szCs w:val="32"/>
          <w:highlight w:val="none"/>
          <w:u w:val="none" w:color="auto"/>
        </w:rPr>
        <w:t>第十</w:t>
      </w:r>
      <w:r>
        <w:rPr>
          <w:rFonts w:hint="eastAsia" w:ascii="仿宋_GB2312"/>
          <w:b/>
          <w:sz w:val="32"/>
          <w:szCs w:val="32"/>
          <w:highlight w:val="none"/>
          <w:u w:val="none" w:color="auto"/>
          <w:lang w:eastAsia="zh-CN"/>
        </w:rPr>
        <w:t>六</w:t>
      </w:r>
      <w:r>
        <w:rPr>
          <w:rFonts w:hint="eastAsia" w:ascii="仿宋_GB2312" w:eastAsia="仿宋_GB2312"/>
          <w:b/>
          <w:sz w:val="32"/>
          <w:szCs w:val="32"/>
          <w:highlight w:val="none"/>
          <w:u w:val="none" w:color="auto"/>
        </w:rPr>
        <w:t>条</w:t>
      </w:r>
      <w:r>
        <w:rPr>
          <w:rFonts w:hint="eastAsia" w:ascii="仿宋_GB2312" w:eastAsia="仿宋_GB2312"/>
          <w:sz w:val="32"/>
          <w:szCs w:val="32"/>
          <w:highlight w:val="none"/>
          <w:u w:val="none" w:color="auto"/>
          <w:lang w:eastAsia="zh-CN"/>
        </w:rPr>
        <w:t xml:space="preserve">  </w:t>
      </w:r>
      <w:r>
        <w:rPr>
          <w:rFonts w:hint="eastAsia" w:ascii="仿宋_GB2312" w:eastAsia="仿宋_GB2312"/>
          <w:sz w:val="32"/>
          <w:szCs w:val="32"/>
          <w:highlight w:val="none"/>
          <w:u w:val="none" w:color="auto"/>
        </w:rPr>
        <w:t>绩效评价结果应用。绩效评价结果作为完善资源枯竭城市转移支付政策以及分配资源枯竭城市转移支付资金的重要参考因素。对绩效评价过程中发现的问题，</w:t>
      </w:r>
      <w:r>
        <w:rPr>
          <w:rFonts w:hint="eastAsia" w:ascii="仿宋_GB2312"/>
          <w:sz w:val="32"/>
          <w:szCs w:val="32"/>
          <w:highlight w:val="none"/>
          <w:u w:val="none" w:color="auto"/>
          <w:lang w:eastAsia="zh-CN"/>
        </w:rPr>
        <w:t>有关市县</w:t>
      </w:r>
      <w:r>
        <w:rPr>
          <w:rFonts w:hint="eastAsia" w:ascii="仿宋_GB2312" w:eastAsia="仿宋_GB2312"/>
          <w:sz w:val="32"/>
          <w:szCs w:val="32"/>
          <w:highlight w:val="none"/>
          <w:u w:val="none" w:color="auto"/>
        </w:rPr>
        <w:t>财政</w:t>
      </w:r>
      <w:r>
        <w:rPr>
          <w:rFonts w:hint="eastAsia" w:ascii="仿宋_GB2312"/>
          <w:sz w:val="32"/>
          <w:szCs w:val="32"/>
          <w:highlight w:val="none"/>
          <w:u w:val="none" w:color="auto"/>
          <w:lang w:eastAsia="zh-CN"/>
        </w:rPr>
        <w:t>局</w:t>
      </w:r>
      <w:r>
        <w:rPr>
          <w:rFonts w:hint="eastAsia" w:ascii="仿宋_GB2312" w:eastAsia="仿宋_GB2312"/>
          <w:sz w:val="32"/>
          <w:szCs w:val="32"/>
          <w:highlight w:val="none"/>
          <w:u w:val="none" w:color="auto"/>
        </w:rPr>
        <w:t>应当制定切实可行的改进办法，加强资金管理，提高资金使用效益。</w:t>
      </w:r>
    </w:p>
    <w:p>
      <w:pPr>
        <w:pStyle w:val="3"/>
        <w:pageBreakBefore w:val="0"/>
        <w:widowControl w:val="0"/>
        <w:kinsoku/>
        <w:wordWrap/>
        <w:overflowPunct/>
        <w:topLinePunct w:val="0"/>
        <w:autoSpaceDE/>
        <w:autoSpaceDN/>
        <w:bidi w:val="0"/>
        <w:adjustRightInd w:val="0"/>
        <w:snapToGrid w:val="0"/>
        <w:spacing w:after="0" w:line="356" w:lineRule="auto"/>
        <w:textAlignment w:val="auto"/>
        <w:outlineLvl w:val="9"/>
        <w:rPr>
          <w:rFonts w:hint="eastAsia"/>
          <w:highlight w:val="none"/>
          <w:u w:val="none" w:color="auto"/>
        </w:rPr>
      </w:pPr>
    </w:p>
    <w:p>
      <w:pPr>
        <w:pStyle w:val="4"/>
        <w:pageBreakBefore w:val="0"/>
        <w:widowControl w:val="0"/>
        <w:kinsoku/>
        <w:wordWrap/>
        <w:overflowPunct/>
        <w:topLinePunct w:val="0"/>
        <w:autoSpaceDE/>
        <w:autoSpaceDN/>
        <w:bidi w:val="0"/>
        <w:adjustRightInd w:val="0"/>
        <w:snapToGrid w:val="0"/>
        <w:spacing w:after="0" w:line="356" w:lineRule="auto"/>
        <w:jc w:val="center"/>
        <w:textAlignment w:val="auto"/>
        <w:rPr>
          <w:highlight w:val="none"/>
          <w:u w:val="none" w:color="auto"/>
        </w:rPr>
      </w:pPr>
      <w:r>
        <w:rPr>
          <w:rFonts w:hint="eastAsia"/>
          <w:highlight w:val="none"/>
          <w:u w:val="none" w:color="auto"/>
        </w:rPr>
        <w:t>第六章</w:t>
      </w:r>
      <w:r>
        <w:rPr>
          <w:rFonts w:hint="eastAsia"/>
          <w:highlight w:val="none"/>
          <w:u w:val="none" w:color="auto"/>
          <w:lang w:eastAsia="zh-CN"/>
        </w:rPr>
        <w:t xml:space="preserve">  </w:t>
      </w:r>
      <w:r>
        <w:rPr>
          <w:rFonts w:hint="eastAsia"/>
          <w:highlight w:val="none"/>
          <w:u w:val="none" w:color="auto"/>
        </w:rPr>
        <w:t>监督检查</w:t>
      </w:r>
    </w:p>
    <w:p>
      <w:pPr>
        <w:pageBreakBefore w:val="0"/>
        <w:widowControl w:val="0"/>
        <w:kinsoku/>
        <w:wordWrap/>
        <w:overflowPunct/>
        <w:topLinePunct w:val="0"/>
        <w:autoSpaceDE/>
        <w:autoSpaceDN/>
        <w:bidi w:val="0"/>
        <w:adjustRightInd w:val="0"/>
        <w:snapToGrid w:val="0"/>
        <w:spacing w:line="356" w:lineRule="auto"/>
        <w:ind w:firstLine="643" w:firstLineChars="200"/>
        <w:textAlignment w:val="auto"/>
        <w:rPr>
          <w:rFonts w:hint="eastAsia" w:ascii="仿宋_GB2312" w:eastAsia="仿宋_GB2312"/>
          <w:sz w:val="32"/>
          <w:szCs w:val="32"/>
          <w:highlight w:val="none"/>
          <w:u w:val="none" w:color="auto"/>
        </w:rPr>
      </w:pPr>
      <w:r>
        <w:rPr>
          <w:rFonts w:hint="eastAsia" w:ascii="仿宋_GB2312" w:eastAsia="仿宋_GB2312"/>
          <w:b/>
          <w:sz w:val="32"/>
          <w:szCs w:val="32"/>
          <w:highlight w:val="none"/>
          <w:u w:val="none" w:color="auto"/>
        </w:rPr>
        <w:t>第十</w:t>
      </w:r>
      <w:r>
        <w:rPr>
          <w:rFonts w:hint="eastAsia" w:ascii="仿宋_GB2312"/>
          <w:b/>
          <w:sz w:val="32"/>
          <w:szCs w:val="32"/>
          <w:highlight w:val="none"/>
          <w:u w:val="none" w:color="auto"/>
          <w:lang w:eastAsia="zh-CN"/>
        </w:rPr>
        <w:t>七</w:t>
      </w:r>
      <w:r>
        <w:rPr>
          <w:rFonts w:hint="eastAsia" w:ascii="仿宋_GB2312" w:eastAsia="仿宋_GB2312"/>
          <w:b/>
          <w:sz w:val="32"/>
          <w:szCs w:val="32"/>
          <w:highlight w:val="none"/>
          <w:u w:val="none" w:color="auto"/>
        </w:rPr>
        <w:t>条</w:t>
      </w:r>
      <w:r>
        <w:rPr>
          <w:rFonts w:hint="eastAsia" w:ascii="仿宋_GB2312" w:eastAsia="仿宋_GB2312"/>
          <w:sz w:val="32"/>
          <w:szCs w:val="32"/>
          <w:highlight w:val="none"/>
          <w:u w:val="none" w:color="auto"/>
          <w:lang w:eastAsia="zh-CN"/>
        </w:rPr>
        <w:t xml:space="preserve">  </w:t>
      </w:r>
      <w:r>
        <w:rPr>
          <w:rFonts w:hint="eastAsia" w:ascii="仿宋_GB2312" w:eastAsia="仿宋_GB2312"/>
          <w:sz w:val="32"/>
          <w:szCs w:val="32"/>
          <w:highlight w:val="none"/>
          <w:u w:val="none" w:color="auto"/>
        </w:rPr>
        <w:t>省财政厅根据财政部统一要求对</w:t>
      </w:r>
      <w:r>
        <w:rPr>
          <w:rFonts w:hint="eastAsia" w:ascii="仿宋_GB2312"/>
          <w:sz w:val="32"/>
          <w:szCs w:val="32"/>
          <w:highlight w:val="none"/>
          <w:u w:val="none" w:color="auto"/>
          <w:lang w:eastAsia="zh-CN"/>
        </w:rPr>
        <w:t>有关市县</w:t>
      </w:r>
      <w:r>
        <w:rPr>
          <w:rFonts w:hint="eastAsia" w:ascii="仿宋_GB2312" w:eastAsia="仿宋_GB2312"/>
          <w:sz w:val="32"/>
          <w:szCs w:val="32"/>
          <w:highlight w:val="none"/>
          <w:u w:val="none" w:color="auto"/>
        </w:rPr>
        <w:t>财政局管理和使用资源枯竭城市转移支付资金情况开展监督检查</w:t>
      </w:r>
      <w:r>
        <w:rPr>
          <w:rFonts w:hint="eastAsia" w:ascii="仿宋_GB2312" w:cs="宋体"/>
          <w:bCs/>
          <w:kern w:val="0"/>
          <w:szCs w:val="32"/>
          <w:highlight w:val="none"/>
          <w:u w:val="none" w:color="auto"/>
          <w:lang w:val="en-US" w:eastAsia="zh-CN" w:bidi="ar-SA"/>
        </w:rPr>
        <w:t>，并将年度检查结果上报财政部备案，同时抄送财政部广东监管局</w:t>
      </w:r>
      <w:r>
        <w:rPr>
          <w:rFonts w:hint="eastAsia" w:ascii="仿宋_GB2312" w:eastAsia="仿宋_GB2312"/>
          <w:sz w:val="32"/>
          <w:szCs w:val="32"/>
          <w:highlight w:val="none"/>
          <w:u w:val="none" w:color="auto"/>
        </w:rPr>
        <w:t>。</w:t>
      </w:r>
    </w:p>
    <w:p>
      <w:pPr>
        <w:pageBreakBefore w:val="0"/>
        <w:widowControl w:val="0"/>
        <w:kinsoku/>
        <w:wordWrap/>
        <w:overflowPunct/>
        <w:topLinePunct w:val="0"/>
        <w:autoSpaceDE/>
        <w:autoSpaceDN/>
        <w:bidi w:val="0"/>
        <w:adjustRightInd w:val="0"/>
        <w:snapToGrid w:val="0"/>
        <w:spacing w:line="356" w:lineRule="auto"/>
        <w:ind w:firstLine="643" w:firstLineChars="200"/>
        <w:textAlignment w:val="auto"/>
        <w:rPr>
          <w:rFonts w:hint="eastAsia" w:ascii="仿宋_GB2312" w:eastAsia="仿宋_GB2312"/>
          <w:sz w:val="32"/>
          <w:szCs w:val="32"/>
          <w:highlight w:val="none"/>
          <w:u w:val="none" w:color="auto"/>
        </w:rPr>
      </w:pPr>
      <w:r>
        <w:rPr>
          <w:rFonts w:hint="eastAsia" w:ascii="仿宋_GB2312" w:eastAsia="仿宋_GB2312"/>
          <w:b/>
          <w:sz w:val="32"/>
          <w:szCs w:val="32"/>
          <w:highlight w:val="none"/>
          <w:u w:val="none" w:color="auto"/>
        </w:rPr>
        <w:t>第十</w:t>
      </w:r>
      <w:r>
        <w:rPr>
          <w:rFonts w:hint="eastAsia" w:ascii="仿宋_GB2312"/>
          <w:b/>
          <w:sz w:val="32"/>
          <w:szCs w:val="32"/>
          <w:highlight w:val="none"/>
          <w:u w:val="none" w:color="auto"/>
          <w:lang w:eastAsia="zh-CN"/>
        </w:rPr>
        <w:t>八</w:t>
      </w:r>
      <w:r>
        <w:rPr>
          <w:rFonts w:hint="eastAsia" w:ascii="仿宋_GB2312" w:eastAsia="仿宋_GB2312"/>
          <w:b/>
          <w:sz w:val="32"/>
          <w:szCs w:val="32"/>
          <w:highlight w:val="none"/>
          <w:u w:val="none" w:color="auto"/>
        </w:rPr>
        <w:t>条</w:t>
      </w:r>
      <w:r>
        <w:rPr>
          <w:rFonts w:hint="eastAsia" w:ascii="仿宋_GB2312" w:eastAsia="仿宋_GB2312"/>
          <w:sz w:val="32"/>
          <w:szCs w:val="32"/>
          <w:highlight w:val="none"/>
          <w:u w:val="none" w:color="auto"/>
          <w:lang w:eastAsia="zh-CN"/>
        </w:rPr>
        <w:t xml:space="preserve">  </w:t>
      </w:r>
      <w:r>
        <w:rPr>
          <w:rFonts w:hint="eastAsia" w:ascii="仿宋_GB2312" w:eastAsia="仿宋_GB2312"/>
          <w:sz w:val="32"/>
          <w:szCs w:val="32"/>
          <w:highlight w:val="none"/>
          <w:u w:val="none" w:color="auto"/>
        </w:rPr>
        <w:t>对资源枯竭转移支付资金管理和使用中的违法行为，依照《中华人民共和国预算法》</w:t>
      </w:r>
      <w:r>
        <w:rPr>
          <w:rFonts w:hint="eastAsia" w:ascii="仿宋_GB2312"/>
          <w:sz w:val="32"/>
          <w:szCs w:val="32"/>
          <w:highlight w:val="none"/>
          <w:u w:val="none" w:color="auto"/>
          <w:lang w:eastAsia="zh-CN"/>
        </w:rPr>
        <w:t>及其实施条例、</w:t>
      </w:r>
      <w:r>
        <w:rPr>
          <w:rFonts w:hint="eastAsia" w:ascii="仿宋_GB2312" w:eastAsia="仿宋_GB2312"/>
          <w:sz w:val="32"/>
          <w:szCs w:val="32"/>
          <w:highlight w:val="none"/>
          <w:u w:val="none" w:color="auto"/>
        </w:rPr>
        <w:t>《中华人民共和国公务员法》《财政违法行为处罚处分条例》等有关规定追究法律责任。</w:t>
      </w:r>
    </w:p>
    <w:p>
      <w:pPr>
        <w:pStyle w:val="4"/>
        <w:pageBreakBefore w:val="0"/>
        <w:widowControl w:val="0"/>
        <w:kinsoku/>
        <w:wordWrap/>
        <w:overflowPunct/>
        <w:topLinePunct w:val="0"/>
        <w:autoSpaceDE/>
        <w:autoSpaceDN/>
        <w:bidi w:val="0"/>
        <w:adjustRightInd w:val="0"/>
        <w:snapToGrid w:val="0"/>
        <w:spacing w:after="0" w:line="356" w:lineRule="auto"/>
        <w:jc w:val="center"/>
        <w:textAlignment w:val="auto"/>
        <w:rPr>
          <w:rFonts w:hint="eastAsia"/>
          <w:highlight w:val="none"/>
          <w:u w:val="none" w:color="auto"/>
        </w:rPr>
      </w:pPr>
      <w:r>
        <w:rPr>
          <w:rFonts w:hint="eastAsia"/>
          <w:highlight w:val="none"/>
          <w:u w:val="none" w:color="auto"/>
        </w:rPr>
        <w:t>第七章</w:t>
      </w:r>
      <w:r>
        <w:rPr>
          <w:rFonts w:hint="eastAsia"/>
          <w:highlight w:val="none"/>
          <w:u w:val="none" w:color="auto"/>
          <w:lang w:eastAsia="zh-CN"/>
        </w:rPr>
        <w:t xml:space="preserve">  </w:t>
      </w:r>
      <w:r>
        <w:rPr>
          <w:rFonts w:hint="eastAsia"/>
          <w:highlight w:val="none"/>
          <w:u w:val="none" w:color="auto"/>
        </w:rPr>
        <w:t>附则</w:t>
      </w:r>
    </w:p>
    <w:p>
      <w:pPr>
        <w:pageBreakBefore w:val="0"/>
        <w:widowControl w:val="0"/>
        <w:kinsoku/>
        <w:wordWrap/>
        <w:overflowPunct/>
        <w:topLinePunct w:val="0"/>
        <w:autoSpaceDE/>
        <w:autoSpaceDN/>
        <w:bidi w:val="0"/>
        <w:adjustRightInd w:val="0"/>
        <w:snapToGrid w:val="0"/>
        <w:spacing w:line="356" w:lineRule="auto"/>
        <w:ind w:firstLine="643" w:firstLineChars="200"/>
        <w:textAlignment w:val="auto"/>
        <w:rPr>
          <w:rFonts w:hint="eastAsia" w:ascii="仿宋_GB2312" w:eastAsia="仿宋_GB2312"/>
          <w:sz w:val="32"/>
          <w:szCs w:val="32"/>
          <w:highlight w:val="none"/>
          <w:u w:val="none" w:color="auto"/>
        </w:rPr>
      </w:pPr>
      <w:r>
        <w:rPr>
          <w:rFonts w:hint="eastAsia" w:ascii="仿宋_GB2312" w:eastAsia="仿宋_GB2312"/>
          <w:b/>
          <w:sz w:val="32"/>
          <w:szCs w:val="32"/>
          <w:highlight w:val="none"/>
          <w:u w:val="none" w:color="auto"/>
        </w:rPr>
        <w:t>第</w:t>
      </w:r>
      <w:r>
        <w:rPr>
          <w:rFonts w:hint="eastAsia" w:ascii="仿宋_GB2312"/>
          <w:b/>
          <w:sz w:val="32"/>
          <w:szCs w:val="32"/>
          <w:highlight w:val="none"/>
          <w:u w:val="none" w:color="auto"/>
          <w:lang w:eastAsia="zh-CN"/>
        </w:rPr>
        <w:t>十九</w:t>
      </w:r>
      <w:r>
        <w:rPr>
          <w:rFonts w:hint="eastAsia" w:ascii="仿宋_GB2312" w:eastAsia="仿宋_GB2312"/>
          <w:b/>
          <w:sz w:val="32"/>
          <w:szCs w:val="32"/>
          <w:highlight w:val="none"/>
          <w:u w:val="none" w:color="auto"/>
        </w:rPr>
        <w:t>条</w:t>
      </w:r>
      <w:r>
        <w:rPr>
          <w:rFonts w:hint="eastAsia" w:ascii="仿宋_GB2312" w:eastAsia="仿宋_GB2312"/>
          <w:sz w:val="32"/>
          <w:szCs w:val="32"/>
          <w:highlight w:val="none"/>
          <w:u w:val="none" w:color="auto"/>
          <w:lang w:eastAsia="zh-CN"/>
        </w:rPr>
        <w:t xml:space="preserve">  </w:t>
      </w:r>
      <w:r>
        <w:rPr>
          <w:rFonts w:hint="eastAsia" w:ascii="仿宋_GB2312"/>
          <w:sz w:val="32"/>
          <w:szCs w:val="32"/>
          <w:highlight w:val="none"/>
          <w:u w:val="none" w:color="auto"/>
          <w:lang w:eastAsia="zh-CN"/>
        </w:rPr>
        <w:t>有关市县</w:t>
      </w:r>
      <w:r>
        <w:rPr>
          <w:rFonts w:hint="eastAsia" w:ascii="仿宋_GB2312" w:eastAsia="仿宋_GB2312"/>
          <w:sz w:val="32"/>
          <w:szCs w:val="32"/>
          <w:highlight w:val="none"/>
          <w:u w:val="none" w:color="auto"/>
        </w:rPr>
        <w:t>财政局可按照财政科学化、精细化管理的要求，依据本办法，结合本地区实际情况，制定资源枯竭转移支付资金管理的具体办法，并报省财政厅备案。</w:t>
      </w:r>
    </w:p>
    <w:p>
      <w:pPr>
        <w:pageBreakBefore w:val="0"/>
        <w:widowControl w:val="0"/>
        <w:kinsoku/>
        <w:wordWrap/>
        <w:overflowPunct/>
        <w:topLinePunct w:val="0"/>
        <w:autoSpaceDE/>
        <w:autoSpaceDN/>
        <w:bidi w:val="0"/>
        <w:adjustRightInd w:val="0"/>
        <w:snapToGrid w:val="0"/>
        <w:spacing w:line="356" w:lineRule="auto"/>
        <w:ind w:firstLine="643" w:firstLineChars="200"/>
        <w:textAlignment w:val="auto"/>
        <w:rPr>
          <w:highlight w:val="none"/>
          <w:u w:val="none" w:color="auto"/>
        </w:rPr>
      </w:pPr>
      <w:r>
        <w:rPr>
          <w:rFonts w:hint="eastAsia" w:ascii="仿宋_GB2312" w:eastAsia="仿宋_GB2312"/>
          <w:b/>
          <w:sz w:val="32"/>
          <w:szCs w:val="32"/>
          <w:highlight w:val="none"/>
          <w:u w:val="none" w:color="auto"/>
        </w:rPr>
        <w:t>第二十条</w:t>
      </w:r>
      <w:r>
        <w:rPr>
          <w:rFonts w:hint="eastAsia" w:ascii="仿宋_GB2312" w:eastAsia="仿宋_GB2312"/>
          <w:sz w:val="32"/>
          <w:szCs w:val="32"/>
          <w:highlight w:val="none"/>
          <w:u w:val="none" w:color="auto"/>
          <w:lang w:eastAsia="zh-CN"/>
        </w:rPr>
        <w:t xml:space="preserve">  </w:t>
      </w:r>
      <w:r>
        <w:rPr>
          <w:rFonts w:hint="eastAsia" w:ascii="仿宋_GB2312" w:eastAsia="仿宋_GB2312"/>
          <w:sz w:val="32"/>
          <w:szCs w:val="32"/>
          <w:highlight w:val="none"/>
          <w:u w:val="none" w:color="auto"/>
        </w:rPr>
        <w:t>本办法自印发之日起实施，</w:t>
      </w:r>
      <w:r>
        <w:rPr>
          <w:rFonts w:hint="eastAsia" w:ascii="仿宋_GB2312" w:cs="宋体"/>
          <w:bCs/>
          <w:kern w:val="0"/>
          <w:szCs w:val="32"/>
          <w:highlight w:val="none"/>
          <w:u w:val="none" w:color="auto"/>
          <w:lang w:val="en-US" w:eastAsia="zh-CN" w:bidi="ar-SA"/>
        </w:rPr>
        <w:t>《广东省财政厅关于印发</w:t>
      </w:r>
      <w:r>
        <w:rPr>
          <w:rFonts w:hint="eastAsia" w:ascii="仿宋_GB2312" w:hAnsi="仿宋_GB2312" w:eastAsia="仿宋_GB2312" w:cs="仿宋_GB2312"/>
          <w:bCs/>
          <w:kern w:val="0"/>
          <w:szCs w:val="32"/>
          <w:highlight w:val="none"/>
          <w:u w:val="none" w:color="auto"/>
          <w:lang w:val="en-US" w:eastAsia="zh-CN" w:bidi="ar-SA"/>
        </w:rPr>
        <w:t>〈</w:t>
      </w:r>
      <w:r>
        <w:rPr>
          <w:rFonts w:hint="eastAsia" w:ascii="仿宋_GB2312" w:cs="宋体"/>
          <w:bCs/>
          <w:kern w:val="0"/>
          <w:szCs w:val="32"/>
          <w:highlight w:val="none"/>
          <w:u w:val="none" w:color="auto"/>
          <w:lang w:val="en-US" w:eastAsia="zh-CN" w:bidi="ar-SA"/>
        </w:rPr>
        <w:t>广东省资源枯竭城市转移支付资金管理办法</w:t>
      </w:r>
      <w:r>
        <w:rPr>
          <w:rFonts w:hint="eastAsia" w:ascii="仿宋_GB2312" w:hAnsi="仿宋_GB2312" w:eastAsia="仿宋_GB2312" w:cs="仿宋_GB2312"/>
          <w:bCs/>
          <w:kern w:val="0"/>
          <w:szCs w:val="32"/>
          <w:highlight w:val="none"/>
          <w:u w:val="none" w:color="auto"/>
          <w:lang w:val="en-US" w:eastAsia="zh-CN" w:bidi="ar-SA"/>
        </w:rPr>
        <w:t>〉</w:t>
      </w:r>
      <w:r>
        <w:rPr>
          <w:rFonts w:hint="eastAsia" w:ascii="仿宋_GB2312" w:cs="宋体"/>
          <w:bCs/>
          <w:kern w:val="0"/>
          <w:szCs w:val="32"/>
          <w:highlight w:val="none"/>
          <w:u w:val="none" w:color="auto"/>
          <w:lang w:val="en-US" w:eastAsia="zh-CN" w:bidi="ar-SA"/>
        </w:rPr>
        <w:t>的通知》（粤财预〔2022〕113号）同时废止。</w:t>
      </w:r>
    </w:p>
    <w:sectPr>
      <w:footerReference r:id="rId3" w:type="default"/>
      <w:pgSz w:w="11906" w:h="16838"/>
      <w:pgMar w:top="2041" w:right="1417" w:bottom="1417" w:left="1531" w:header="851" w:footer="992" w:gutter="0"/>
      <w:pgNumType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roid Sans">
    <w:altName w:val="微软雅黑"/>
    <w:panose1 w:val="00000000000000000000"/>
    <w:charset w:val="00"/>
    <w:family w:val="auto"/>
    <w:pitch w:val="default"/>
    <w:sig w:usb0="00000000" w:usb1="00000000" w:usb2="00000000"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9525" cy="131445"/>
              <wp:effectExtent l="0" t="0" r="0" b="0"/>
              <wp:wrapNone/>
              <wp:docPr id="1" name="文本框 2"/>
              <wp:cNvGraphicFramePr/>
              <a:graphic xmlns:a="http://schemas.openxmlformats.org/drawingml/2006/main">
                <a:graphicData uri="http://schemas.microsoft.com/office/word/2010/wordprocessingShape">
                  <wps:wsp>
                    <wps:cNvSpPr txBox="1"/>
                    <wps:spPr>
                      <a:xfrm>
                        <a:off x="0" y="0"/>
                        <a:ext cx="9525" cy="131445"/>
                      </a:xfrm>
                      <a:prstGeom prst="rect">
                        <a:avLst/>
                      </a:prstGeom>
                      <a:noFill/>
                      <a:ln>
                        <a:noFill/>
                      </a:ln>
                    </wps:spPr>
                    <wps:txbx>
                      <w:txbxContent>
                        <w:p>
                          <w:pPr>
                            <w:pStyle w:val="5"/>
                            <w:rPr>
                              <w:rFonts w:hint="eastAsia" w:eastAsia="仿宋_GB2312"/>
                              <w:lang w:eastAsia="zh-CN"/>
                            </w:rPr>
                          </w:pP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0.35pt;width:0.75pt;mso-position-horizontal:right;mso-position-horizontal-relative:margin;mso-wrap-style:none;z-index:251659264;mso-width-relative:page;mso-height-relative:page;" filled="f" stroked="f" coordsize="21600,21600" o:gfxdata="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iCDMo0AAAAAIBAAAPAAAAAAAAAAEAIAAAACIAAABkcnMvZG93bnJl&#10;di54bWxQSwECFAAUAAAACACHTuJAkIyUJMwBAACVAwAADgAAAAAAAAABACAAAAAfAQAAZHJzL2Uy&#10;b0RvYy54bWxQSwUGAAAAAAYABgBZAQAAXQUAAAAA&#10;">
              <v:fill on="f" focussize="0,0"/>
              <v:stroke on="f"/>
              <v:imagedata o:title=""/>
              <o:lock v:ext="edit" aspectratio="f"/>
              <v:textbox inset="0mm,0mm,0mm,0mm" style="mso-fit-shape-to-text:t;">
                <w:txbxContent>
                  <w:p>
                    <w:pPr>
                      <w:pStyle w:val="5"/>
                      <w:rPr>
                        <w:rFonts w:hint="eastAsia" w:eastAsia="仿宋_GB2312"/>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wMjU5ZTNiZWNjMDFjNzU4YzI5MjhlMzBhZTcxYzUifQ=="/>
    <w:docVar w:name="KGWebUrl" w:val="http://gcoa.gdczt.gov.cn:8080/bgzdhxt/weaver/weaver.file.FileDownloadForNews?uuid=cddcd017-32e2-4058-8065-ad24529804de&amp;fileid=3226814&amp;type=document&amp;isofficeview=0"/>
  </w:docVars>
  <w:rsids>
    <w:rsidRoot w:val="00172A27"/>
    <w:rsid w:val="01496162"/>
    <w:rsid w:val="01A067DA"/>
    <w:rsid w:val="01C053A7"/>
    <w:rsid w:val="02640AB9"/>
    <w:rsid w:val="033217F9"/>
    <w:rsid w:val="05911586"/>
    <w:rsid w:val="064530B9"/>
    <w:rsid w:val="06584B36"/>
    <w:rsid w:val="06783802"/>
    <w:rsid w:val="06A804A8"/>
    <w:rsid w:val="07162D42"/>
    <w:rsid w:val="071825EC"/>
    <w:rsid w:val="0744466F"/>
    <w:rsid w:val="076A7C83"/>
    <w:rsid w:val="07915BE1"/>
    <w:rsid w:val="084AFDD9"/>
    <w:rsid w:val="088C1486"/>
    <w:rsid w:val="091F1AD1"/>
    <w:rsid w:val="09907BA7"/>
    <w:rsid w:val="09CD8008"/>
    <w:rsid w:val="0ADA0377"/>
    <w:rsid w:val="0AEF01BC"/>
    <w:rsid w:val="0C3817C4"/>
    <w:rsid w:val="0F110243"/>
    <w:rsid w:val="10106E63"/>
    <w:rsid w:val="1029AEC7"/>
    <w:rsid w:val="11183BC9"/>
    <w:rsid w:val="13B00073"/>
    <w:rsid w:val="162AB1FA"/>
    <w:rsid w:val="16E50E50"/>
    <w:rsid w:val="17445984"/>
    <w:rsid w:val="180011FB"/>
    <w:rsid w:val="182C4127"/>
    <w:rsid w:val="19620997"/>
    <w:rsid w:val="1BF644EE"/>
    <w:rsid w:val="1BFE6C6F"/>
    <w:rsid w:val="1C0D4169"/>
    <w:rsid w:val="1C453C00"/>
    <w:rsid w:val="1E3C7307"/>
    <w:rsid w:val="1EFF9C92"/>
    <w:rsid w:val="24405CC0"/>
    <w:rsid w:val="251625DA"/>
    <w:rsid w:val="25475DD0"/>
    <w:rsid w:val="26ECD23B"/>
    <w:rsid w:val="270A45D7"/>
    <w:rsid w:val="28ED4F85"/>
    <w:rsid w:val="297C354C"/>
    <w:rsid w:val="29DC4081"/>
    <w:rsid w:val="2B325C94"/>
    <w:rsid w:val="2B405F38"/>
    <w:rsid w:val="2BEB253C"/>
    <w:rsid w:val="2BEC4327"/>
    <w:rsid w:val="2CF112EB"/>
    <w:rsid w:val="2CFE5044"/>
    <w:rsid w:val="31CD3718"/>
    <w:rsid w:val="33664021"/>
    <w:rsid w:val="33A27E6E"/>
    <w:rsid w:val="34AD49CC"/>
    <w:rsid w:val="35772CD7"/>
    <w:rsid w:val="365D7DF0"/>
    <w:rsid w:val="38F11C26"/>
    <w:rsid w:val="396A1FB9"/>
    <w:rsid w:val="39D0702C"/>
    <w:rsid w:val="3A1B5485"/>
    <w:rsid w:val="3B5441FF"/>
    <w:rsid w:val="3B9374AD"/>
    <w:rsid w:val="3C14A6CF"/>
    <w:rsid w:val="3C966398"/>
    <w:rsid w:val="3C9F0383"/>
    <w:rsid w:val="3D79264A"/>
    <w:rsid w:val="3DBB5405"/>
    <w:rsid w:val="3F5A050E"/>
    <w:rsid w:val="3F97089C"/>
    <w:rsid w:val="3FBE098F"/>
    <w:rsid w:val="40AB4F64"/>
    <w:rsid w:val="42CE791C"/>
    <w:rsid w:val="44D04502"/>
    <w:rsid w:val="4BD342A1"/>
    <w:rsid w:val="4E1835AE"/>
    <w:rsid w:val="4F022B99"/>
    <w:rsid w:val="503F7298"/>
    <w:rsid w:val="52B72479"/>
    <w:rsid w:val="52C120D3"/>
    <w:rsid w:val="52DA7D5E"/>
    <w:rsid w:val="5314167A"/>
    <w:rsid w:val="582F1C04"/>
    <w:rsid w:val="596D1A41"/>
    <w:rsid w:val="5A116EE8"/>
    <w:rsid w:val="5A6B57D3"/>
    <w:rsid w:val="5A803329"/>
    <w:rsid w:val="5B9B6072"/>
    <w:rsid w:val="5C7B1805"/>
    <w:rsid w:val="5D754EE5"/>
    <w:rsid w:val="5E5CF5DD"/>
    <w:rsid w:val="5F0A3633"/>
    <w:rsid w:val="5F6D308F"/>
    <w:rsid w:val="6076DF0B"/>
    <w:rsid w:val="626AD4CD"/>
    <w:rsid w:val="65890BAD"/>
    <w:rsid w:val="695F9043"/>
    <w:rsid w:val="6B903623"/>
    <w:rsid w:val="6BEB71EC"/>
    <w:rsid w:val="6C154460"/>
    <w:rsid w:val="6C495FC2"/>
    <w:rsid w:val="6D0BE998"/>
    <w:rsid w:val="6F1CF381"/>
    <w:rsid w:val="6FDBDA85"/>
    <w:rsid w:val="76133413"/>
    <w:rsid w:val="78A82F1A"/>
    <w:rsid w:val="79FA4544"/>
    <w:rsid w:val="7CF20D37"/>
    <w:rsid w:val="7DAA29B0"/>
    <w:rsid w:val="7EDB763A"/>
    <w:rsid w:val="7FD978CC"/>
    <w:rsid w:val="858E6CC4"/>
    <w:rsid w:val="882FDADB"/>
    <w:rsid w:val="8ACE8C59"/>
    <w:rsid w:val="8EC69E9A"/>
    <w:rsid w:val="8F2FD01A"/>
    <w:rsid w:val="90EE95BC"/>
    <w:rsid w:val="93007F20"/>
    <w:rsid w:val="944481DD"/>
    <w:rsid w:val="98E8E277"/>
    <w:rsid w:val="A8020C3E"/>
    <w:rsid w:val="AA18B920"/>
    <w:rsid w:val="B6150785"/>
    <w:rsid w:val="B7768A1F"/>
    <w:rsid w:val="BD25D7F4"/>
    <w:rsid w:val="BDB538B5"/>
    <w:rsid w:val="C492549A"/>
    <w:rsid w:val="C56DF9F6"/>
    <w:rsid w:val="D506CD76"/>
    <w:rsid w:val="DC984CC0"/>
    <w:rsid w:val="DD74DE3B"/>
    <w:rsid w:val="DFFF398D"/>
    <w:rsid w:val="EC67A0BD"/>
    <w:rsid w:val="F20A8750"/>
    <w:rsid w:val="F874FC26"/>
    <w:rsid w:val="F925488F"/>
    <w:rsid w:val="FFF8F3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Droid Sans" w:hAnsi="Droid Sans" w:eastAsia="方正小标宋简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widowControl w:val="0"/>
      <w:adjustRightInd w:val="0"/>
      <w:snapToGrid w:val="0"/>
      <w:spacing w:before="0" w:beforeAutospacing="0" w:after="0" w:afterAutospacing="0" w:line="360" w:lineRule="auto"/>
      <w:jc w:val="center"/>
      <w:outlineLvl w:val="0"/>
    </w:pPr>
    <w:rPr>
      <w:rFonts w:ascii="Times New Roman" w:hAnsi="Times New Roman" w:eastAsia="方正小标宋简体" w:cs="Droid Sans"/>
      <w:kern w:val="44"/>
      <w:sz w:val="44"/>
    </w:rPr>
  </w:style>
  <w:style w:type="paragraph" w:styleId="4">
    <w:name w:val="heading 2"/>
    <w:basedOn w:val="1"/>
    <w:next w:val="1"/>
    <w:qFormat/>
    <w:uiPriority w:val="0"/>
    <w:pPr>
      <w:keepNext/>
      <w:keepLines/>
      <w:widowControl w:val="0"/>
      <w:adjustRightInd w:val="0"/>
      <w:snapToGrid w:val="0"/>
      <w:spacing w:before="0" w:beforeAutospacing="0" w:after="0" w:afterAutospacing="0" w:line="360" w:lineRule="auto"/>
      <w:jc w:val="center"/>
      <w:outlineLvl w:val="1"/>
    </w:pPr>
    <w:rPr>
      <w:rFonts w:ascii="Arial" w:hAnsi="Arial" w:eastAsia="黑体" w:cs="Droid Sans"/>
    </w:rPr>
  </w:style>
  <w:style w:type="character" w:default="1" w:styleId="10">
    <w:name w:val="Default Paragraph Font"/>
    <w:qFormat/>
    <w:uiPriority w:val="0"/>
    <w:rPr>
      <w:rFonts w:ascii="Droid Sans" w:hAnsi="Droid Sans" w:eastAsia="方正小标宋简体" w:cs="Droid Sans"/>
    </w:rPr>
  </w:style>
  <w:style w:type="table" w:default="1" w:styleId="9">
    <w:name w:val="Normal Table"/>
    <w:qFormat/>
    <w:uiPriority w:val="0"/>
    <w:rPr>
      <w:rFonts w:ascii="Droid Sans" w:hAnsi="Droid Sans" w:eastAsia="方正小标宋简体" w:cs="Droid Sans"/>
    </w:rPr>
    <w:tblPr>
      <w:tblCellMar>
        <w:top w:w="0" w:type="dxa"/>
        <w:left w:w="108" w:type="dxa"/>
        <w:bottom w:w="0" w:type="dxa"/>
        <w:right w:w="108" w:type="dxa"/>
      </w:tblCellMar>
    </w:tblPr>
  </w:style>
  <w:style w:type="paragraph" w:styleId="2">
    <w:name w:val="Body Text"/>
    <w:basedOn w:val="1"/>
    <w:qFormat/>
    <w:uiPriority w:val="0"/>
    <w:pPr>
      <w:spacing w:after="120" w:afterAutospacing="0"/>
    </w:pPr>
    <w:rPr>
      <w:rFonts w:ascii="Droid Sans" w:hAnsi="Droid Sans" w:eastAsia="方正小标宋简体" w:cs="Droid Sans"/>
    </w:rPr>
  </w:style>
  <w:style w:type="paragraph" w:styleId="5">
    <w:name w:val="footer"/>
    <w:basedOn w:val="1"/>
    <w:qFormat/>
    <w:uiPriority w:val="0"/>
    <w:pPr>
      <w:tabs>
        <w:tab w:val="center" w:pos="4153"/>
        <w:tab w:val="right" w:pos="8306"/>
      </w:tabs>
      <w:snapToGrid w:val="0"/>
      <w:jc w:val="left"/>
    </w:pPr>
    <w:rPr>
      <w:rFonts w:ascii="Droid Sans" w:hAnsi="Droid Sans" w:eastAsia="方正小标宋简体" w:cs="Droid Sans"/>
      <w:sz w:val="18"/>
    </w:rPr>
  </w:style>
  <w:style w:type="paragraph" w:styleId="6">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rFonts w:ascii="Droid Sans" w:hAnsi="Droid Sans" w:eastAsia="方正小标宋简体" w:cs="Droid Sans"/>
      <w:sz w:val="18"/>
    </w:rPr>
  </w:style>
  <w:style w:type="paragraph" w:styleId="7">
    <w:name w:val="toc 1"/>
    <w:basedOn w:val="1"/>
    <w:next w:val="1"/>
    <w:qFormat/>
    <w:uiPriority w:val="0"/>
    <w:rPr>
      <w:rFonts w:ascii="Droid Sans" w:hAnsi="Droid Sans" w:eastAsia="方正小标宋简体" w:cs="Droid Sans"/>
    </w:rPr>
  </w:style>
  <w:style w:type="paragraph" w:styleId="8">
    <w:name w:val="footnote text"/>
    <w:basedOn w:val="1"/>
    <w:qFormat/>
    <w:uiPriority w:val="0"/>
    <w:pPr>
      <w:snapToGrid w:val="0"/>
      <w:jc w:val="left"/>
    </w:pPr>
    <w:rPr>
      <w:rFonts w:ascii="Droid Sans" w:hAnsi="Droid Sans" w:eastAsia="方正小标宋简体" w:cs="Droid Sans"/>
      <w:sz w:val="18"/>
    </w:rPr>
  </w:style>
  <w:style w:type="character" w:styleId="11">
    <w:name w:val="page number"/>
    <w:qFormat/>
    <w:uiPriority w:val="0"/>
    <w:rPr>
      <w:rFonts w:ascii="Droid Sans" w:hAnsi="Droid Sans" w:eastAsia="方正小标宋简体" w:cs="Droid Sans"/>
    </w:rPr>
  </w:style>
  <w:style w:type="character" w:styleId="12">
    <w:name w:val="footnote reference"/>
    <w:basedOn w:val="10"/>
    <w:qFormat/>
    <w:uiPriority w:val="0"/>
    <w:rPr>
      <w:rFonts w:ascii="Droid Sans" w:hAnsi="Droid Sans" w:eastAsia="方正小标宋简体" w:cs="Droid Sans"/>
      <w:vertAlign w:val="superscript"/>
    </w:rPr>
  </w:style>
  <w:style w:type="paragraph" w:customStyle="1" w:styleId="13">
    <w:name w:val="WPSOffice手动目录 1"/>
    <w:qFormat/>
    <w:uiPriority w:val="0"/>
    <w:rPr>
      <w:rFonts w:ascii="Times New Roman" w:hAnsi="Times New Roman" w:eastAsia="宋体" w:cs="Droid Sans"/>
      <w:sz w:val="20"/>
      <w:szCs w:val="20"/>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Kingsoft</Company>
  <Pages>7</Pages>
  <Words>2941</Words>
  <Characters>2972</Characters>
  <Lines>0</Lines>
  <Paragraphs>0</Paragraphs>
  <TotalTime>46</TotalTime>
  <ScaleCrop>false</ScaleCrop>
  <LinksUpToDate>false</LinksUpToDate>
  <CharactersWithSpaces>3026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陈俊吕</dc:creator>
  <cp:lastModifiedBy>Lenovo</cp:lastModifiedBy>
  <cp:lastPrinted>2023-07-28T01:49:00Z</cp:lastPrinted>
  <dcterms:modified xsi:type="dcterms:W3CDTF">2023-07-31T06:30:33Z</dcterms:modified>
  <dc:title>广东省资源枯竭城市转移支付资金管理办法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
    <vt:lpwstr>2052-10.8.2.6666</vt:lpwstr>
  </property>
  <property fmtid="{D5CDD505-2E9C-101B-9397-08002B2CF9AE}" pid="3" name="KSOProductBuildVer">
    <vt:lpwstr>2052-11.1.0.14309</vt:lpwstr>
  </property>
  <property fmtid="{D5CDD505-2E9C-101B-9397-08002B2CF9AE}" pid="4" name="ICV">
    <vt:lpwstr>BA3637770E7A4A3FAE6717263754F49D</vt:lpwstr>
  </property>
</Properties>
</file>