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省财政厅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预算绩效和政府债务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监测评价中心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</w:pPr>
      <w:r>
        <w:rPr>
          <w:rFonts w:hint="eastAsia" w:ascii="仿宋_GB2312" w:hAnsi="宋体" w:eastAsia="仿宋_GB2312" w:cs="Times New Roman"/>
          <w:sz w:val="32"/>
          <w:szCs w:val="32"/>
        </w:rPr>
        <w:t>广东省财政厅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预算绩效和政府债务监测评价中心是</w:t>
      </w:r>
      <w:r>
        <w:rPr>
          <w:rFonts w:hint="eastAsia" w:ascii="仿宋_GB2312" w:hAnsi="宋体" w:eastAsia="仿宋_GB2312" w:cs="Times New Roman"/>
          <w:sz w:val="32"/>
          <w:szCs w:val="32"/>
        </w:rPr>
        <w:t>经广东省机构编制委员会批准设立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的核定财政补助一类事业单位，为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参照公务员法管理单位。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主要职能：承担重大政策、项目预算绩效评价组织管理工作，承担预算绩效运行监控工作，参与建设预算绩效指标库；承担政府债务统计分析和风险监测评估、政府债券项目合规性评估工作；参与政府债券管理工作；负责涉农资金评价监测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jU5ZTNiZWNjMDFjNzU4YzI5MjhlMzBhZTcxYzUifQ=="/>
  </w:docVars>
  <w:rsids>
    <w:rsidRoot w:val="0F520CB4"/>
    <w:rsid w:val="0F52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2023-10-18T08:17:00Z</dcterms:created>
  <dc:creator>Lenovo</dc:creator>
  <cp:lastModifiedBy>Lenovo</cp:lastModifiedBy>
  <dcterms:modified xsi:type="dcterms:W3CDTF">2023-10-18T08:18:14Z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3513DBA1DD714B239A7354B5C8B961B0_11</vt:lpwstr>
  </property>
</Properties>
</file>