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Lines="0" w:after="0" w:afterLines="0" w:afterAutospacing="0" w:line="288" w:lineRule="auto"/>
        <w:ind w:firstLine="0"/>
        <w:jc w:val="center"/>
        <w:textAlignment w:val="auto"/>
        <w:rPr>
          <w:rFonts w:hint="eastAsia" w:ascii="方正小标宋简体" w:hAnsi="方正小标宋简体" w:eastAsia="方正小标宋简体" w:cs="方正小标宋简体"/>
          <w:color w:val="auto"/>
          <w:sz w:val="44"/>
          <w:szCs w:val="44"/>
          <w:highlight w:val="none"/>
          <w:lang w:eastAsia="zh-CN"/>
        </w:rPr>
      </w:pPr>
      <w:bookmarkStart w:id="0" w:name="_GoBack"/>
      <w:r>
        <w:rPr>
          <w:rFonts w:hint="eastAsia" w:ascii="方正小标宋简体" w:hAnsi="方正小标宋简体" w:eastAsia="方正小标宋简体" w:cs="方正小标宋简体"/>
          <w:color w:val="auto"/>
          <w:sz w:val="44"/>
          <w:szCs w:val="44"/>
          <w:highlight w:val="none"/>
          <w:lang w:eastAsia="zh-CN"/>
        </w:rPr>
        <w:t>广东省职业教育“扩容、提质、强服务”</w:t>
      </w:r>
    </w:p>
    <w:p>
      <w:pPr>
        <w:keepNext w:val="0"/>
        <w:keepLines w:val="0"/>
        <w:pageBreakBefore w:val="0"/>
        <w:widowControl w:val="0"/>
        <w:kinsoku/>
        <w:wordWrap/>
        <w:overflowPunct/>
        <w:topLinePunct w:val="0"/>
        <w:autoSpaceDE/>
        <w:autoSpaceDN/>
        <w:bidi w:val="0"/>
        <w:adjustRightInd w:val="0"/>
        <w:snapToGrid w:val="0"/>
        <w:spacing w:beforeLines="0" w:after="0" w:afterLines="0" w:afterAutospacing="0" w:line="288" w:lineRule="auto"/>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资金管理办法</w:t>
      </w:r>
    </w:p>
    <w:bookmarkEnd w:id="0"/>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88" w:lineRule="auto"/>
        <w:ind w:firstLine="0" w:firstLineChars="0"/>
        <w:jc w:val="center"/>
        <w:textAlignment w:val="auto"/>
        <w:rPr>
          <w:rFonts w:hint="eastAsia" w:ascii="黑体" w:hAnsi="黑体" w:eastAsia="黑体" w:cs="黑体"/>
          <w:color w:val="auto"/>
          <w:sz w:val="32"/>
          <w:szCs w:val="24"/>
          <w:highlight w:val="none"/>
        </w:r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0" w:firstLineChars="0"/>
        <w:jc w:val="center"/>
        <w:textAlignment w:val="auto"/>
        <w:rPr>
          <w:rFonts w:hint="eastAsia" w:ascii="Calibri" w:hAnsi="Calibri" w:eastAsia="仿宋_GB2312"/>
          <w:color w:val="auto"/>
          <w:sz w:val="32"/>
          <w:szCs w:val="24"/>
          <w:highlight w:val="none"/>
        </w:rPr>
      </w:pPr>
      <w:r>
        <w:rPr>
          <w:rFonts w:hint="eastAsia" w:ascii="黑体" w:hAnsi="黑体" w:eastAsia="黑体" w:cs="黑体"/>
          <w:color w:val="auto"/>
          <w:sz w:val="32"/>
          <w:szCs w:val="24"/>
          <w:highlight w:val="none"/>
        </w:rPr>
        <w:t>第一章</w:t>
      </w:r>
      <w:r>
        <w:rPr>
          <w:rFonts w:hint="eastAsia" w:ascii="黑体" w:hAnsi="黑体" w:eastAsia="黑体" w:cs="黑体"/>
          <w:color w:val="auto"/>
          <w:sz w:val="32"/>
          <w:szCs w:val="24"/>
          <w:highlight w:val="none"/>
          <w:lang w:val="en-US" w:eastAsia="zh-CN"/>
        </w:rPr>
        <w:t xml:space="preserve">  </w:t>
      </w:r>
      <w:r>
        <w:rPr>
          <w:rFonts w:hint="eastAsia" w:ascii="黑体" w:hAnsi="黑体" w:eastAsia="黑体" w:cs="黑体"/>
          <w:color w:val="auto"/>
          <w:sz w:val="32"/>
          <w:szCs w:val="24"/>
          <w:highlight w:val="none"/>
        </w:rPr>
        <w:t>总则</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640" w:firstLineChars="200"/>
        <w:textAlignment w:val="auto"/>
        <w:rPr>
          <w:rFonts w:hint="eastAsia" w:ascii="Calibri" w:hAnsi="Calibri" w:eastAsia="仿宋_GB2312"/>
          <w:color w:val="auto"/>
          <w:sz w:val="32"/>
          <w:szCs w:val="24"/>
          <w:highlight w:val="none"/>
          <w:lang w:eastAsia="zh-CN"/>
        </w:rPr>
      </w:pPr>
      <w:r>
        <w:rPr>
          <w:rFonts w:hint="eastAsia" w:ascii="黑体" w:hAnsi="黑体" w:eastAsia="黑体" w:cs="黑体"/>
          <w:color w:val="auto"/>
          <w:sz w:val="32"/>
          <w:szCs w:val="24"/>
          <w:highlight w:val="none"/>
        </w:rPr>
        <w:t>第一条</w:t>
      </w:r>
      <w:r>
        <w:rPr>
          <w:rFonts w:hint="eastAsia" w:ascii="Calibri" w:hAnsi="Calibri" w:eastAsia="仿宋_GB2312" w:cs="Times New Roman"/>
          <w:color w:val="auto"/>
          <w:sz w:val="32"/>
          <w:szCs w:val="24"/>
          <w:highlight w:val="none"/>
          <w:lang w:val="en-US" w:eastAsia="zh-CN"/>
        </w:rPr>
        <w:t xml:space="preserve"> </w:t>
      </w:r>
      <w:r>
        <w:rPr>
          <w:rFonts w:hint="eastAsia" w:ascii="Calibri" w:hAnsi="Calibri" w:eastAsia="仿宋_GB2312"/>
          <w:color w:val="auto"/>
          <w:sz w:val="32"/>
          <w:szCs w:val="24"/>
          <w:highlight w:val="none"/>
          <w:lang w:eastAsia="zh-CN"/>
        </w:rPr>
        <w:t>为规范和加强</w:t>
      </w:r>
      <w:r>
        <w:rPr>
          <w:rFonts w:hint="eastAsia" w:cs="Times New Roman"/>
          <w:color w:val="auto"/>
          <w:sz w:val="32"/>
          <w:szCs w:val="24"/>
          <w:highlight w:val="none"/>
          <w:u w:val="none"/>
          <w:lang w:eastAsia="zh-CN"/>
        </w:rPr>
        <w:t>省级</w:t>
      </w:r>
      <w:r>
        <w:rPr>
          <w:rFonts w:hint="eastAsia" w:ascii="Calibri" w:hAnsi="Calibri" w:eastAsia="仿宋_GB2312"/>
          <w:color w:val="auto"/>
          <w:sz w:val="32"/>
          <w:szCs w:val="24"/>
          <w:highlight w:val="none"/>
          <w:lang w:eastAsia="zh-CN"/>
        </w:rPr>
        <w:t>职业教育“扩容、提质、强服务”资金（以下简称“扩提强”资金）的管理，提高资金使用效益，</w:t>
      </w:r>
      <w:r>
        <w:rPr>
          <w:rFonts w:hint="eastAsia" w:ascii="Calibri" w:hAnsi="Calibri"/>
          <w:color w:val="auto"/>
          <w:sz w:val="32"/>
          <w:szCs w:val="24"/>
          <w:highlight w:val="none"/>
          <w:lang w:eastAsia="zh-CN"/>
        </w:rPr>
        <w:t>推动职业教育高质量发展，</w:t>
      </w:r>
      <w:r>
        <w:rPr>
          <w:rFonts w:hint="eastAsia" w:ascii="Calibri" w:hAnsi="Calibri" w:eastAsia="仿宋_GB2312" w:cs="Times New Roman"/>
          <w:color w:val="auto"/>
          <w:sz w:val="32"/>
          <w:szCs w:val="24"/>
          <w:highlight w:val="none"/>
          <w:u w:val="none"/>
        </w:rPr>
        <w:t>根据</w:t>
      </w:r>
      <w:r>
        <w:rPr>
          <w:rFonts w:hint="eastAsia" w:ascii="Calibri" w:eastAsia="仿宋_GB2312" w:cs="Times New Roman"/>
          <w:color w:val="auto"/>
          <w:highlight w:val="none"/>
          <w:lang w:val="en-US" w:eastAsia="zh-CN" w:bidi="ar-SA"/>
        </w:rPr>
        <w:t>《中华人民共和国预算法》</w:t>
      </w:r>
      <w:r>
        <w:rPr>
          <w:rFonts w:hint="eastAsia" w:ascii="Calibri" w:cs="Times New Roman"/>
          <w:color w:val="auto"/>
          <w:highlight w:val="none"/>
          <w:lang w:val="en-US" w:eastAsia="zh-CN" w:bidi="ar-SA"/>
        </w:rPr>
        <w:t>及其实施条例等法律法规、</w:t>
      </w:r>
      <w:r>
        <w:rPr>
          <w:rFonts w:hint="eastAsia" w:ascii="仿宋_GB2312" w:eastAsia="仿宋_GB2312"/>
          <w:color w:val="auto"/>
          <w:sz w:val="32"/>
          <w:szCs w:val="32"/>
          <w:highlight w:val="none"/>
          <w:u w:val="none" w:color="auto"/>
        </w:rPr>
        <w:t>《国务院关于进一步深化预算管理制度改革的意见》（国发〔2021〕5号）</w:t>
      </w:r>
      <w:r>
        <w:rPr>
          <w:rFonts w:hint="eastAsia" w:ascii="仿宋_GB2312" w:eastAsia="仿宋_GB2312"/>
          <w:color w:val="auto"/>
          <w:sz w:val="32"/>
          <w:szCs w:val="32"/>
          <w:highlight w:val="none"/>
          <w:u w:val="none" w:color="auto"/>
          <w:lang w:eastAsia="zh-CN"/>
        </w:rPr>
        <w:t>、</w:t>
      </w:r>
      <w:r>
        <w:rPr>
          <w:rFonts w:hint="eastAsia" w:ascii="仿宋_GB2312" w:eastAsia="仿宋_GB2312"/>
          <w:color w:val="auto"/>
          <w:sz w:val="32"/>
          <w:szCs w:val="32"/>
          <w:highlight w:val="none"/>
          <w:u w:val="none" w:color="auto"/>
        </w:rPr>
        <w:t>《广东省人民政府关于</w:t>
      </w:r>
      <w:r>
        <w:rPr>
          <w:rFonts w:hint="eastAsia" w:ascii="仿宋_GB2312" w:eastAsia="仿宋_GB2312"/>
          <w:color w:val="auto"/>
          <w:sz w:val="32"/>
          <w:szCs w:val="32"/>
          <w:highlight w:val="none"/>
          <w:u w:val="none" w:color="auto"/>
          <w:lang w:eastAsia="zh-CN"/>
        </w:rPr>
        <w:t>深化预算管理改革</w:t>
      </w:r>
      <w:r>
        <w:rPr>
          <w:rFonts w:hint="eastAsia" w:ascii="仿宋_GB2312" w:eastAsia="仿宋_GB2312"/>
          <w:color w:val="auto"/>
          <w:sz w:val="32"/>
          <w:szCs w:val="32"/>
          <w:highlight w:val="none"/>
          <w:u w:val="none" w:color="auto"/>
          <w:lang w:val="en-US" w:eastAsia="zh-CN"/>
        </w:rPr>
        <w:t xml:space="preserve"> 切实提高省级年初预算到位率和资金使用效益的通知</w:t>
      </w:r>
      <w:r>
        <w:rPr>
          <w:rFonts w:hint="eastAsia" w:ascii="仿宋_GB2312" w:eastAsia="仿宋_GB2312"/>
          <w:color w:val="auto"/>
          <w:sz w:val="32"/>
          <w:szCs w:val="32"/>
          <w:highlight w:val="none"/>
          <w:u w:val="none" w:color="auto"/>
        </w:rPr>
        <w:t>》（粤府</w:t>
      </w:r>
      <w:r>
        <w:rPr>
          <w:rFonts w:hint="eastAsia" w:ascii="仿宋_GB2312" w:eastAsia="仿宋_GB2312"/>
          <w:color w:val="auto"/>
          <w:sz w:val="32"/>
          <w:szCs w:val="32"/>
          <w:highlight w:val="none"/>
          <w:u w:val="none" w:color="auto"/>
          <w:lang w:eastAsia="zh-CN"/>
        </w:rPr>
        <w:t>函</w:t>
      </w:r>
      <w:r>
        <w:rPr>
          <w:rFonts w:hint="eastAsia" w:ascii="仿宋_GB2312" w:eastAsia="仿宋_GB2312"/>
          <w:color w:val="auto"/>
          <w:sz w:val="32"/>
          <w:szCs w:val="32"/>
          <w:highlight w:val="none"/>
          <w:u w:val="none" w:color="auto"/>
        </w:rPr>
        <w:t>〔202</w:t>
      </w:r>
      <w:r>
        <w:rPr>
          <w:rFonts w:hint="eastAsia" w:ascii="仿宋_GB2312" w:eastAsia="仿宋_GB2312"/>
          <w:color w:val="auto"/>
          <w:sz w:val="32"/>
          <w:szCs w:val="32"/>
          <w:highlight w:val="none"/>
          <w:u w:val="none" w:color="auto"/>
          <w:lang w:val="en-US" w:eastAsia="zh-CN"/>
        </w:rPr>
        <w:t>2</w:t>
      </w:r>
      <w:r>
        <w:rPr>
          <w:rFonts w:hint="eastAsia" w:ascii="仿宋_GB2312" w:eastAsia="仿宋_GB2312"/>
          <w:color w:val="auto"/>
          <w:sz w:val="32"/>
          <w:szCs w:val="32"/>
          <w:highlight w:val="none"/>
          <w:u w:val="none" w:color="auto"/>
        </w:rPr>
        <w:t>〕</w:t>
      </w:r>
      <w:r>
        <w:rPr>
          <w:rFonts w:hint="eastAsia" w:ascii="仿宋_GB2312" w:eastAsia="仿宋_GB2312"/>
          <w:color w:val="auto"/>
          <w:sz w:val="32"/>
          <w:szCs w:val="32"/>
          <w:highlight w:val="none"/>
          <w:u w:val="none" w:color="auto"/>
          <w:lang w:val="en-US" w:eastAsia="zh-CN"/>
        </w:rPr>
        <w:t>236</w:t>
      </w:r>
      <w:r>
        <w:rPr>
          <w:rFonts w:hint="eastAsia" w:ascii="仿宋_GB2312" w:eastAsia="仿宋_GB2312"/>
          <w:color w:val="auto"/>
          <w:sz w:val="32"/>
          <w:szCs w:val="32"/>
          <w:highlight w:val="none"/>
          <w:u w:val="none" w:color="auto"/>
        </w:rPr>
        <w:t>号）</w:t>
      </w:r>
      <w:r>
        <w:rPr>
          <w:rFonts w:hint="eastAsia" w:ascii="仿宋_GB2312"/>
          <w:color w:val="auto"/>
          <w:sz w:val="32"/>
          <w:szCs w:val="32"/>
          <w:highlight w:val="none"/>
          <w:u w:val="none" w:color="auto"/>
          <w:lang w:eastAsia="zh-CN"/>
        </w:rPr>
        <w:t>和</w:t>
      </w:r>
      <w:r>
        <w:rPr>
          <w:rFonts w:hint="eastAsia" w:ascii="Calibri" w:hAnsi="Calibri" w:eastAsia="仿宋_GB2312" w:cs="Times New Roman"/>
          <w:color w:val="auto"/>
          <w:sz w:val="32"/>
          <w:szCs w:val="24"/>
          <w:highlight w:val="none"/>
        </w:rPr>
        <w:t>《广东省省级财政专项资金管理办法》</w:t>
      </w:r>
      <w:r>
        <w:rPr>
          <w:rFonts w:hint="eastAsia" w:ascii="Calibri" w:hAnsi="Calibri" w:cs="Times New Roman"/>
          <w:color w:val="auto"/>
          <w:sz w:val="32"/>
          <w:szCs w:val="24"/>
          <w:highlight w:val="none"/>
          <w:lang w:eastAsia="zh-CN"/>
        </w:rPr>
        <w:t>等</w:t>
      </w:r>
      <w:r>
        <w:rPr>
          <w:rFonts w:hint="eastAsia" w:ascii="Calibri" w:hAnsi="Calibri" w:eastAsia="仿宋_GB2312" w:cs="Times New Roman"/>
          <w:color w:val="auto"/>
          <w:sz w:val="32"/>
          <w:szCs w:val="24"/>
          <w:highlight w:val="none"/>
          <w:u w:val="none"/>
        </w:rPr>
        <w:t>有关规定，</w:t>
      </w:r>
      <w:r>
        <w:rPr>
          <w:rFonts w:hint="eastAsia" w:ascii="Calibri"/>
          <w:color w:val="auto"/>
          <w:sz w:val="32"/>
          <w:szCs w:val="24"/>
          <w:highlight w:val="none"/>
          <w:lang w:eastAsia="zh-CN"/>
        </w:rPr>
        <w:t>结合我省职业教育发展实际，</w:t>
      </w:r>
      <w:r>
        <w:rPr>
          <w:rFonts w:hint="eastAsia" w:ascii="Calibri" w:eastAsia="仿宋_GB2312"/>
          <w:color w:val="auto"/>
          <w:sz w:val="32"/>
          <w:szCs w:val="24"/>
          <w:highlight w:val="none"/>
          <w:lang w:eastAsia="zh-CN"/>
        </w:rPr>
        <w:t>制定本办法。</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640" w:firstLineChars="200"/>
        <w:textAlignment w:val="auto"/>
        <w:rPr>
          <w:rFonts w:hint="eastAsia" w:ascii="Calibri" w:hAnsi="Calibri" w:eastAsia="仿宋_GB2312"/>
          <w:color w:val="auto"/>
          <w:sz w:val="32"/>
          <w:szCs w:val="24"/>
          <w:highlight w:val="none"/>
          <w:lang w:eastAsia="zh-CN"/>
        </w:rPr>
      </w:pPr>
      <w:r>
        <w:rPr>
          <w:rFonts w:hint="eastAsia" w:ascii="黑体" w:hAnsi="黑体" w:eastAsia="黑体" w:cs="黑体"/>
          <w:color w:val="auto"/>
          <w:sz w:val="32"/>
          <w:szCs w:val="24"/>
          <w:highlight w:val="none"/>
          <w:lang w:eastAsia="zh-CN"/>
        </w:rPr>
        <w:t>第二条</w:t>
      </w:r>
      <w:r>
        <w:rPr>
          <w:rFonts w:hint="eastAsia" w:ascii="Calibri" w:hAnsi="Calibri" w:eastAsia="仿宋_GB2312" w:cs="Times New Roman"/>
          <w:color w:val="auto"/>
          <w:sz w:val="32"/>
          <w:szCs w:val="24"/>
          <w:highlight w:val="none"/>
          <w:lang w:val="en-US" w:eastAsia="zh-CN"/>
        </w:rPr>
        <w:t xml:space="preserve"> </w:t>
      </w:r>
      <w:r>
        <w:rPr>
          <w:rFonts w:hint="eastAsia" w:ascii="Calibri" w:hAnsi="Calibri" w:eastAsia="仿宋_GB2312"/>
          <w:color w:val="auto"/>
          <w:sz w:val="32"/>
          <w:szCs w:val="24"/>
          <w:highlight w:val="none"/>
          <w:lang w:val="en-US" w:eastAsia="zh-CN"/>
        </w:rPr>
        <w:t>本办法所称</w:t>
      </w:r>
      <w:r>
        <w:rPr>
          <w:rFonts w:hint="eastAsia" w:ascii="Calibri" w:hAnsi="Calibri" w:eastAsia="仿宋_GB2312"/>
          <w:color w:val="auto"/>
          <w:sz w:val="32"/>
          <w:szCs w:val="24"/>
          <w:highlight w:val="none"/>
          <w:lang w:eastAsia="zh-CN"/>
        </w:rPr>
        <w:t>“扩提强”资金，是指</w:t>
      </w:r>
      <w:r>
        <w:rPr>
          <w:rFonts w:hint="eastAsia" w:ascii="Calibri" w:hAnsi="Calibri" w:eastAsia="仿宋_GB2312" w:cs="Times New Roman"/>
          <w:color w:val="auto"/>
          <w:kern w:val="2"/>
          <w:sz w:val="32"/>
          <w:highlight w:val="none"/>
          <w:u w:val="none"/>
          <w:lang w:eastAsia="zh-CN"/>
        </w:rPr>
        <w:t>省财政通过一般公共预算安排</w:t>
      </w:r>
      <w:r>
        <w:rPr>
          <w:rFonts w:hint="eastAsia" w:cs="Times New Roman"/>
          <w:color w:val="auto"/>
          <w:kern w:val="2"/>
          <w:sz w:val="32"/>
          <w:highlight w:val="none"/>
          <w:u w:val="none"/>
          <w:lang w:eastAsia="zh-CN"/>
        </w:rPr>
        <w:t>的</w:t>
      </w:r>
      <w:r>
        <w:rPr>
          <w:rFonts w:hint="eastAsia" w:cs="Times New Roman"/>
          <w:color w:val="auto"/>
          <w:sz w:val="32"/>
          <w:szCs w:val="24"/>
          <w:highlight w:val="none"/>
          <w:u w:val="none"/>
          <w:lang w:eastAsia="zh-CN"/>
        </w:rPr>
        <w:t>教育发展专项资金中</w:t>
      </w:r>
      <w:r>
        <w:rPr>
          <w:rFonts w:hint="eastAsia" w:ascii="Calibri" w:hAnsi="Calibri" w:eastAsia="仿宋_GB2312" w:cs="Times New Roman"/>
          <w:color w:val="auto"/>
          <w:kern w:val="2"/>
          <w:sz w:val="32"/>
          <w:highlight w:val="none"/>
          <w:u w:val="none"/>
          <w:lang w:eastAsia="zh-CN"/>
        </w:rPr>
        <w:t>，用于扩大优质职业教育资源供给，提升人才培养质量，增强服务经济社会发展能力，推动我省职业教育“扩容、提质、强服务”的资金。</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left="0" w:leftChars="0" w:firstLine="640" w:firstLineChars="200"/>
        <w:textAlignment w:val="auto"/>
        <w:rPr>
          <w:rFonts w:hint="eastAsia" w:ascii="Calibri" w:hAnsi="Calibri" w:eastAsia="仿宋_GB2312"/>
          <w:color w:val="auto"/>
          <w:sz w:val="32"/>
          <w:szCs w:val="24"/>
          <w:highlight w:val="none"/>
        </w:rPr>
      </w:pPr>
      <w:r>
        <w:rPr>
          <w:rFonts w:hint="eastAsia" w:ascii="黑体" w:hAnsi="黑体" w:eastAsia="黑体" w:cs="黑体"/>
          <w:color w:val="auto"/>
          <w:sz w:val="32"/>
          <w:szCs w:val="24"/>
          <w:highlight w:val="none"/>
          <w:lang w:eastAsia="zh-CN"/>
        </w:rPr>
        <w:t>第三条</w:t>
      </w:r>
      <w:r>
        <w:rPr>
          <w:rFonts w:hint="eastAsia" w:ascii="黑体" w:hAnsi="黑体" w:eastAsia="黑体" w:cs="黑体"/>
          <w:color w:val="auto"/>
          <w:sz w:val="32"/>
          <w:szCs w:val="24"/>
          <w:highlight w:val="none"/>
          <w:lang w:val="en-US" w:eastAsia="zh-CN"/>
        </w:rPr>
        <w:t xml:space="preserve"> </w:t>
      </w:r>
      <w:r>
        <w:rPr>
          <w:rFonts w:hint="eastAsia" w:ascii="Calibri" w:hAnsi="Calibri" w:eastAsia="仿宋_GB2312"/>
          <w:color w:val="auto"/>
          <w:sz w:val="32"/>
          <w:szCs w:val="24"/>
          <w:highlight w:val="none"/>
          <w:lang w:eastAsia="zh-CN"/>
        </w:rPr>
        <w:t>“扩提强”资金</w:t>
      </w:r>
      <w:r>
        <w:rPr>
          <w:rFonts w:hint="eastAsia" w:ascii="Calibri" w:hAnsi="Calibri" w:eastAsia="仿宋_GB2312" w:cs="Times New Roman"/>
          <w:color w:val="auto"/>
          <w:sz w:val="32"/>
          <w:szCs w:val="24"/>
          <w:highlight w:val="none"/>
          <w:lang w:val="en-US" w:eastAsia="zh-CN"/>
        </w:rPr>
        <w:t>遵循“严格审批、权责明确，科学论证、绩效优先，突出重点、分类安排，公平公开、强化监督”的原则，</w:t>
      </w:r>
      <w:r>
        <w:rPr>
          <w:rFonts w:hint="eastAsia" w:ascii="Calibri" w:hAnsi="Calibri" w:eastAsia="仿宋_GB2312" w:cs="Times New Roman"/>
          <w:color w:val="auto"/>
          <w:kern w:val="2"/>
          <w:sz w:val="32"/>
          <w:highlight w:val="none"/>
          <w:lang w:eastAsia="zh-CN"/>
        </w:rPr>
        <w:t>严格按照“</w:t>
      </w:r>
      <w:r>
        <w:rPr>
          <w:rFonts w:hint="eastAsia" w:cs="Times New Roman"/>
          <w:color w:val="auto"/>
          <w:kern w:val="2"/>
          <w:sz w:val="32"/>
          <w:highlight w:val="none"/>
          <w:lang w:eastAsia="zh-CN"/>
        </w:rPr>
        <w:t>先定事项再议经费、</w:t>
      </w:r>
      <w:r>
        <w:rPr>
          <w:rFonts w:hint="eastAsia" w:ascii="Calibri" w:hAnsi="Calibri" w:eastAsia="仿宋_GB2312" w:cs="Times New Roman"/>
          <w:color w:val="auto"/>
          <w:kern w:val="2"/>
          <w:sz w:val="32"/>
          <w:highlight w:val="none"/>
          <w:lang w:eastAsia="zh-CN"/>
        </w:rPr>
        <w:t>先有项目后有预算、先有预算再有执行、没有预算不得支出”</w:t>
      </w:r>
      <w:r>
        <w:rPr>
          <w:rFonts w:hint="eastAsia" w:cs="Times New Roman"/>
          <w:color w:val="auto"/>
          <w:kern w:val="2"/>
          <w:sz w:val="32"/>
          <w:highlight w:val="none"/>
          <w:lang w:eastAsia="zh-CN"/>
        </w:rPr>
        <w:t>的</w:t>
      </w:r>
      <w:r>
        <w:rPr>
          <w:rFonts w:hint="eastAsia" w:ascii="Calibri" w:hAnsi="Calibri" w:eastAsia="仿宋_GB2312" w:cs="Times New Roman"/>
          <w:color w:val="auto"/>
          <w:kern w:val="2"/>
          <w:sz w:val="32"/>
          <w:highlight w:val="none"/>
          <w:lang w:eastAsia="zh-CN"/>
        </w:rPr>
        <w:t>要求管理。</w:t>
      </w:r>
    </w:p>
    <w:p>
      <w:pPr>
        <w:keepNext w:val="0"/>
        <w:keepLines w:val="0"/>
        <w:pageBreakBefore w:val="0"/>
        <w:widowControl w:val="0"/>
        <w:kinsoku/>
        <w:wordWrap/>
        <w:overflowPunct/>
        <w:topLinePunct w:val="0"/>
        <w:autoSpaceDE/>
        <w:autoSpaceDN/>
        <w:bidi w:val="0"/>
        <w:adjustRightInd w:val="0"/>
        <w:snapToGrid w:val="0"/>
        <w:spacing w:beforeLines="0" w:after="0" w:afterLines="0" w:afterAutospacing="0" w:line="360" w:lineRule="auto"/>
        <w:ind w:firstLine="640" w:firstLineChars="200"/>
        <w:textAlignment w:val="auto"/>
        <w:rPr>
          <w:rFonts w:hint="eastAsia" w:ascii="Calibri" w:hAnsi="Calibri" w:eastAsia="仿宋_GB2312"/>
          <w:color w:val="auto"/>
          <w:sz w:val="32"/>
          <w:szCs w:val="24"/>
          <w:highlight w:val="none"/>
        </w:rPr>
      </w:pPr>
      <w:r>
        <w:rPr>
          <w:rFonts w:hint="eastAsia" w:ascii="黑体" w:hAnsi="黑体" w:eastAsia="黑体" w:cs="黑体"/>
          <w:color w:val="auto"/>
          <w:sz w:val="32"/>
          <w:szCs w:val="24"/>
          <w:highlight w:val="none"/>
          <w:lang w:eastAsia="zh-CN"/>
        </w:rPr>
        <w:t>第四条</w:t>
      </w:r>
      <w:r>
        <w:rPr>
          <w:rFonts w:hint="eastAsia" w:ascii="Calibri" w:hAnsi="Calibri" w:eastAsia="仿宋_GB2312" w:cs="Times New Roman"/>
          <w:color w:val="auto"/>
          <w:sz w:val="32"/>
          <w:szCs w:val="24"/>
          <w:highlight w:val="none"/>
          <w:lang w:val="en-US" w:eastAsia="zh-CN"/>
        </w:rPr>
        <w:t xml:space="preserve"> </w:t>
      </w:r>
      <w:r>
        <w:rPr>
          <w:rFonts w:hint="eastAsia" w:ascii="Calibri" w:hAnsi="Calibri" w:eastAsia="仿宋_GB2312"/>
          <w:color w:val="auto"/>
          <w:sz w:val="32"/>
          <w:szCs w:val="24"/>
          <w:highlight w:val="none"/>
          <w:lang w:eastAsia="zh-CN"/>
        </w:rPr>
        <w:t>“扩提强”资金</w:t>
      </w:r>
      <w:r>
        <w:rPr>
          <w:rFonts w:hint="eastAsia" w:ascii="Calibri" w:hAnsi="Calibri" w:eastAsia="仿宋_GB2312"/>
          <w:color w:val="auto"/>
          <w:sz w:val="32"/>
          <w:szCs w:val="24"/>
          <w:highlight w:val="none"/>
          <w:lang w:val="en-US" w:eastAsia="zh-CN"/>
        </w:rPr>
        <w:t>绩效</w:t>
      </w:r>
      <w:r>
        <w:rPr>
          <w:rFonts w:hint="eastAsia" w:ascii="仿宋_GB2312" w:hAnsi="仿宋_GB2312" w:eastAsia="仿宋_GB2312" w:cs="仿宋_GB2312"/>
          <w:color w:val="auto"/>
          <w:sz w:val="32"/>
          <w:szCs w:val="24"/>
          <w:highlight w:val="none"/>
          <w:lang w:val="en-US" w:eastAsia="zh-CN"/>
        </w:rPr>
        <w:t>目标是：到2025年，完成全省“十四五”职业教育“</w:t>
      </w:r>
      <w:r>
        <w:rPr>
          <w:rFonts w:hint="eastAsia" w:ascii="仿宋_GB2312" w:hAnsi="仿宋_GB2312" w:eastAsia="仿宋_GB2312" w:cs="仿宋_GB2312"/>
          <w:color w:val="auto"/>
          <w:sz w:val="32"/>
          <w:szCs w:val="24"/>
          <w:highlight w:val="none"/>
        </w:rPr>
        <w:t>扩容、提质、强服务</w:t>
      </w:r>
      <w:r>
        <w:rPr>
          <w:rFonts w:hint="eastAsia" w:ascii="仿宋_GB2312" w:hAnsi="仿宋_GB2312" w:eastAsia="仿宋_GB2312" w:cs="仿宋_GB2312"/>
          <w:color w:val="auto"/>
          <w:sz w:val="32"/>
          <w:szCs w:val="24"/>
          <w:highlight w:val="none"/>
          <w:lang w:val="en-US" w:eastAsia="zh-CN"/>
        </w:rPr>
        <w:t>”重点工作和主要任务，人才</w:t>
      </w:r>
      <w:r>
        <w:rPr>
          <w:rFonts w:hint="eastAsia" w:ascii="Calibri" w:hAnsi="Calibri" w:eastAsia="仿宋_GB2312"/>
          <w:color w:val="auto"/>
          <w:sz w:val="32"/>
          <w:szCs w:val="24"/>
          <w:highlight w:val="none"/>
          <w:lang w:val="en-US" w:eastAsia="zh-CN"/>
        </w:rPr>
        <w:t>培养质量提高，</w:t>
      </w:r>
      <w:r>
        <w:rPr>
          <w:rFonts w:hint="eastAsia" w:ascii="Calibri" w:hAnsi="Calibri" w:eastAsia="仿宋_GB2312"/>
          <w:color w:val="auto"/>
          <w:sz w:val="32"/>
          <w:szCs w:val="24"/>
          <w:highlight w:val="none"/>
        </w:rPr>
        <w:t>职业教育发展水平位居全国第一梯队前列。</w:t>
      </w:r>
      <w:r>
        <w:rPr>
          <w:rFonts w:hint="eastAsia" w:ascii="Calibri" w:hAnsi="Calibri" w:eastAsia="仿宋_GB2312"/>
          <w:color w:val="auto"/>
          <w:sz w:val="32"/>
          <w:szCs w:val="24"/>
          <w:highlight w:val="none"/>
          <w:lang w:eastAsia="zh-CN"/>
        </w:rPr>
        <w:t>中职办学规模</w:t>
      </w:r>
      <w:r>
        <w:rPr>
          <w:rFonts w:hint="eastAsia" w:ascii="Calibri" w:hAnsi="Calibri"/>
          <w:color w:val="auto"/>
          <w:sz w:val="32"/>
          <w:szCs w:val="24"/>
          <w:highlight w:val="none"/>
          <w:u w:val="none"/>
          <w:lang w:eastAsia="zh-CN"/>
        </w:rPr>
        <w:t>满足产业发展需求</w:t>
      </w:r>
      <w:r>
        <w:rPr>
          <w:rFonts w:hint="eastAsia" w:ascii="Calibri" w:hAnsi="Calibri" w:eastAsia="仿宋_GB2312"/>
          <w:color w:val="auto"/>
          <w:sz w:val="32"/>
          <w:szCs w:val="24"/>
          <w:highlight w:val="none"/>
          <w:lang w:eastAsia="zh-CN"/>
        </w:rPr>
        <w:t>，建成一批高水平中职学校和专业；欠发达地区</w:t>
      </w:r>
      <w:r>
        <w:rPr>
          <w:rFonts w:hint="eastAsia" w:ascii="Calibri" w:hAnsi="Calibri" w:eastAsia="仿宋_GB2312"/>
          <w:color w:val="auto"/>
          <w:sz w:val="32"/>
          <w:szCs w:val="24"/>
          <w:highlight w:val="none"/>
          <w:lang w:val="en-US" w:eastAsia="zh-CN"/>
        </w:rPr>
        <w:t>中职学校办学条件基本达标，布局结构进一步优化，优质中职学位供给充足。</w:t>
      </w:r>
      <w:r>
        <w:rPr>
          <w:rFonts w:hint="eastAsia" w:ascii="Calibri" w:hAnsi="Calibri" w:eastAsia="仿宋_GB2312"/>
          <w:color w:val="auto"/>
          <w:sz w:val="32"/>
          <w:szCs w:val="24"/>
          <w:highlight w:val="none"/>
        </w:rPr>
        <w:t>高质量完成国家“双高计划”任务和高职教育“创新强校工程”建设项目，</w:t>
      </w:r>
      <w:r>
        <w:rPr>
          <w:rFonts w:hint="eastAsia" w:ascii="Calibri" w:hAnsi="Calibri" w:eastAsia="仿宋_GB2312"/>
          <w:color w:val="auto"/>
          <w:sz w:val="32"/>
          <w:szCs w:val="24"/>
          <w:highlight w:val="none"/>
          <w:lang w:val="en-US" w:eastAsia="zh-CN"/>
        </w:rPr>
        <w:t>建设一批高水平高职院校和专业群。</w:t>
      </w:r>
      <w:r>
        <w:rPr>
          <w:rFonts w:hint="eastAsia" w:ascii="Calibri" w:hAnsi="Calibri" w:eastAsia="仿宋_GB2312"/>
          <w:color w:val="auto"/>
          <w:sz w:val="32"/>
          <w:szCs w:val="24"/>
          <w:highlight w:val="none"/>
        </w:rPr>
        <w:t>省属职业院校集团办学工作顺利推进，</w:t>
      </w:r>
      <w:r>
        <w:rPr>
          <w:rFonts w:hint="eastAsia" w:ascii="Calibri" w:hAnsi="Calibri" w:eastAsia="仿宋_GB2312"/>
          <w:color w:val="auto"/>
          <w:sz w:val="32"/>
          <w:szCs w:val="24"/>
          <w:highlight w:val="none"/>
          <w:lang w:eastAsia="zh-CN"/>
        </w:rPr>
        <w:t>原中职校区办学条件改善</w:t>
      </w:r>
      <w:r>
        <w:rPr>
          <w:rFonts w:hint="eastAsia" w:ascii="Calibri" w:hAnsi="Calibri" w:eastAsia="仿宋_GB2312"/>
          <w:color w:val="auto"/>
          <w:sz w:val="32"/>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Lines="0" w:after="0" w:afterLines="0" w:afterAutospacing="0" w:line="360" w:lineRule="auto"/>
        <w:ind w:firstLine="627" w:firstLineChars="196"/>
        <w:jc w:val="both"/>
        <w:textAlignment w:val="auto"/>
        <w:rPr>
          <w:rFonts w:hint="eastAsia" w:ascii="黑体" w:hAnsi="黑体" w:eastAsia="黑体" w:cs="黑体"/>
          <w:color w:val="auto"/>
          <w:kern w:val="2"/>
          <w:sz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360" w:lineRule="auto"/>
        <w:ind w:firstLine="0" w:firstLineChars="0"/>
        <w:jc w:val="center"/>
        <w:textAlignment w:val="auto"/>
        <w:rPr>
          <w:rFonts w:hint="eastAsia" w:ascii="黑体" w:hAnsi="黑体" w:eastAsia="黑体" w:cs="黑体"/>
          <w:color w:val="auto"/>
          <w:sz w:val="32"/>
          <w:szCs w:val="24"/>
          <w:highlight w:val="none"/>
          <w:lang w:val="en-US" w:eastAsia="zh-CN"/>
        </w:rPr>
      </w:pPr>
      <w:r>
        <w:rPr>
          <w:rFonts w:hint="eastAsia" w:ascii="黑体" w:hAnsi="黑体" w:eastAsia="黑体" w:cs="黑体"/>
          <w:color w:val="auto"/>
          <w:sz w:val="32"/>
          <w:szCs w:val="24"/>
          <w:highlight w:val="none"/>
          <w:lang w:val="en-US" w:eastAsia="zh-CN"/>
        </w:rPr>
        <w:t>第二章  职责分工</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afterAutospacing="0" w:line="360" w:lineRule="auto"/>
        <w:ind w:left="0" w:leftChars="0" w:firstLine="0" w:firstLineChars="0"/>
        <w:textAlignment w:val="auto"/>
        <w:rPr>
          <w:rFonts w:hint="eastAsia" w:ascii="仿宋_GB2312" w:hAnsi="仿宋_GB2312" w:eastAsia="仿宋_GB2312" w:cs="仿宋_GB2312"/>
          <w:color w:val="auto"/>
          <w:sz w:val="32"/>
          <w:szCs w:val="24"/>
          <w:highlight w:val="none"/>
          <w:lang w:val="en-US" w:eastAsia="zh-CN" w:bidi="ar-SA"/>
        </w:rPr>
      </w:pPr>
      <w:r>
        <w:rPr>
          <w:rFonts w:hint="eastAsia"/>
          <w:color w:val="auto"/>
          <w:sz w:val="32"/>
          <w:szCs w:val="24"/>
          <w:highlight w:val="none"/>
          <w:lang w:val="en-US" w:eastAsia="zh-CN"/>
        </w:rPr>
        <w:t xml:space="preserve">  </w:t>
      </w:r>
      <w:r>
        <w:rPr>
          <w:rFonts w:hint="eastAsia" w:ascii="黑体" w:hAnsi="黑体" w:eastAsia="黑体" w:cs="黑体"/>
          <w:color w:val="auto"/>
          <w:sz w:val="32"/>
          <w:szCs w:val="24"/>
          <w:highlight w:val="none"/>
          <w:lang w:val="en-US" w:eastAsia="zh-CN"/>
        </w:rPr>
        <w:t xml:space="preserve"> </w:t>
      </w:r>
      <w:r>
        <w:rPr>
          <w:rFonts w:hint="eastAsia" w:ascii="仿宋_GB2312" w:hAnsi="仿宋_GB2312" w:eastAsia="仿宋_GB2312" w:cs="仿宋_GB2312"/>
          <w:color w:val="auto"/>
          <w:sz w:val="32"/>
          <w:szCs w:val="24"/>
          <w:highlight w:val="none"/>
          <w:lang w:val="en-US" w:eastAsia="zh-CN"/>
        </w:rPr>
        <w:t xml:space="preserve"> </w:t>
      </w:r>
      <w:r>
        <w:rPr>
          <w:rFonts w:hint="eastAsia" w:ascii="黑体" w:hAnsi="黑体" w:eastAsia="黑体" w:cs="黑体"/>
          <w:color w:val="auto"/>
          <w:sz w:val="32"/>
          <w:szCs w:val="24"/>
          <w:highlight w:val="none"/>
          <w:lang w:eastAsia="zh-CN"/>
        </w:rPr>
        <w:t>第五条</w:t>
      </w:r>
      <w:r>
        <w:rPr>
          <w:rFonts w:hint="eastAsia" w:ascii="黑体" w:hAnsi="黑体" w:eastAsia="黑体" w:cs="黑体"/>
          <w:color w:val="auto"/>
          <w:sz w:val="32"/>
          <w:szCs w:val="24"/>
          <w:highlight w:val="none"/>
          <w:lang w:val="en-US" w:eastAsia="zh-CN"/>
        </w:rPr>
        <w:t xml:space="preserve"> </w:t>
      </w:r>
      <w:r>
        <w:rPr>
          <w:rFonts w:hint="eastAsia" w:ascii="仿宋_GB2312" w:hAnsi="仿宋_GB2312" w:eastAsia="仿宋_GB2312" w:cs="仿宋_GB2312"/>
          <w:color w:val="auto"/>
          <w:sz w:val="32"/>
          <w:szCs w:val="24"/>
          <w:highlight w:val="none"/>
          <w:lang w:val="en-US" w:eastAsia="zh-CN" w:bidi="ar-SA"/>
        </w:rPr>
        <w:t>省财政厅、省教育厅按职责分工负责</w:t>
      </w:r>
      <w:r>
        <w:rPr>
          <w:rFonts w:hint="eastAsia" w:ascii="仿宋_GB2312" w:hAnsi="仿宋_GB2312" w:eastAsia="仿宋_GB2312" w:cs="仿宋_GB2312"/>
          <w:color w:val="auto"/>
          <w:sz w:val="32"/>
          <w:szCs w:val="24"/>
          <w:highlight w:val="none"/>
          <w:lang w:eastAsia="zh-CN"/>
        </w:rPr>
        <w:t>“扩提强”资金</w:t>
      </w:r>
      <w:r>
        <w:rPr>
          <w:rFonts w:hint="eastAsia" w:ascii="仿宋_GB2312" w:hAnsi="仿宋_GB2312" w:eastAsia="仿宋_GB2312" w:cs="仿宋_GB2312"/>
          <w:color w:val="auto"/>
          <w:sz w:val="32"/>
          <w:szCs w:val="24"/>
          <w:highlight w:val="none"/>
          <w:lang w:val="en-US" w:eastAsia="zh-CN" w:bidi="ar-SA"/>
        </w:rPr>
        <w:t>使用管理。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afterAutospacing="0" w:line="360" w:lineRule="auto"/>
        <w:ind w:left="0" w:leftChars="0" w:firstLine="640" w:firstLineChars="200"/>
        <w:textAlignment w:val="auto"/>
        <w:rPr>
          <w:rFonts w:hint="eastAsia" w:ascii="仿宋_GB2312" w:hAnsi="仿宋_GB2312" w:eastAsia="仿宋_GB2312" w:cs="仿宋_GB2312"/>
          <w:color w:val="auto"/>
          <w:sz w:val="32"/>
          <w:szCs w:val="24"/>
          <w:highlight w:val="none"/>
          <w:lang w:val="en-US" w:eastAsia="zh-CN" w:bidi="ar-SA"/>
        </w:rPr>
      </w:pPr>
      <w:r>
        <w:rPr>
          <w:rFonts w:hint="eastAsia" w:ascii="仿宋_GB2312" w:hAnsi="仿宋_GB2312" w:eastAsia="仿宋_GB2312" w:cs="仿宋_GB2312"/>
          <w:color w:val="auto"/>
          <w:sz w:val="32"/>
          <w:szCs w:val="24"/>
          <w:highlight w:val="none"/>
          <w:lang w:val="en-US" w:eastAsia="zh-CN" w:bidi="ar-SA"/>
        </w:rPr>
        <w:t>省财政厅负责汇总编制资金预算，审核</w:t>
      </w:r>
      <w:r>
        <w:rPr>
          <w:rFonts w:hint="eastAsia" w:ascii="仿宋_GB2312" w:hAnsi="仿宋_GB2312" w:eastAsia="仿宋_GB2312" w:cs="仿宋_GB2312"/>
          <w:b w:val="0"/>
          <w:bCs w:val="0"/>
          <w:color w:val="auto"/>
          <w:sz w:val="32"/>
          <w:szCs w:val="32"/>
          <w:highlight w:val="none"/>
          <w:u w:val="none" w:color="auto"/>
          <w:lang w:val="en-US" w:eastAsia="zh-CN"/>
        </w:rPr>
        <w:t>资金分配方案</w:t>
      </w:r>
      <w:r>
        <w:rPr>
          <w:rFonts w:hint="eastAsia" w:ascii="仿宋_GB2312" w:hAnsi="仿宋_GB2312" w:cs="仿宋_GB2312"/>
          <w:b w:val="0"/>
          <w:bCs w:val="0"/>
          <w:color w:val="auto"/>
          <w:sz w:val="32"/>
          <w:szCs w:val="32"/>
          <w:highlight w:val="none"/>
          <w:u w:val="none" w:color="auto"/>
          <w:lang w:val="en-US" w:eastAsia="zh-CN"/>
        </w:rPr>
        <w:t>是否符合省委、省政府决策部署，</w:t>
      </w:r>
      <w:r>
        <w:rPr>
          <w:rFonts w:hint="eastAsia" w:ascii="仿宋_GB2312" w:hAnsi="仿宋_GB2312" w:eastAsia="仿宋_GB2312" w:cs="仿宋_GB2312"/>
          <w:color w:val="auto"/>
          <w:sz w:val="32"/>
          <w:szCs w:val="24"/>
          <w:highlight w:val="none"/>
          <w:lang w:val="en-US" w:eastAsia="zh-CN" w:bidi="ar-SA"/>
        </w:rPr>
        <w:t>办理资金下达和拨付</w:t>
      </w:r>
      <w:r>
        <w:rPr>
          <w:rFonts w:hint="eastAsia" w:ascii="仿宋_GB2312" w:hAnsi="仿宋_GB2312" w:cs="仿宋_GB2312"/>
          <w:color w:val="auto"/>
          <w:sz w:val="32"/>
          <w:szCs w:val="24"/>
          <w:highlight w:val="none"/>
          <w:lang w:val="en-US" w:eastAsia="zh-CN" w:bidi="ar-SA"/>
        </w:rPr>
        <w:t>，</w:t>
      </w:r>
      <w:r>
        <w:rPr>
          <w:rFonts w:hint="eastAsia" w:ascii="仿宋_GB2312" w:hAnsi="仿宋_GB2312" w:eastAsia="仿宋_GB2312" w:cs="仿宋_GB2312"/>
          <w:color w:val="auto"/>
          <w:sz w:val="32"/>
          <w:szCs w:val="24"/>
          <w:highlight w:val="none"/>
          <w:lang w:val="en-US" w:eastAsia="zh-CN" w:bidi="ar-SA"/>
        </w:rPr>
        <w:t>对预算执行</w:t>
      </w:r>
      <w:r>
        <w:rPr>
          <w:rFonts w:hint="eastAsia" w:ascii="仿宋_GB2312" w:hAnsi="仿宋_GB2312" w:cs="仿宋_GB2312"/>
          <w:color w:val="auto"/>
          <w:sz w:val="32"/>
          <w:szCs w:val="24"/>
          <w:highlight w:val="none"/>
          <w:lang w:val="en-US" w:eastAsia="zh-CN" w:bidi="ar-SA"/>
        </w:rPr>
        <w:t>进行</w:t>
      </w:r>
      <w:r>
        <w:rPr>
          <w:rFonts w:hint="eastAsia" w:ascii="仿宋_GB2312" w:hAnsi="仿宋_GB2312" w:eastAsia="仿宋_GB2312" w:cs="仿宋_GB2312"/>
          <w:color w:val="auto"/>
          <w:sz w:val="32"/>
          <w:szCs w:val="24"/>
          <w:highlight w:val="none"/>
          <w:lang w:val="en-US" w:eastAsia="zh-CN" w:bidi="ar-SA"/>
        </w:rPr>
        <w:t>监控通报，组织开展重点绩效评价</w:t>
      </w:r>
      <w:r>
        <w:rPr>
          <w:rFonts w:hint="eastAsia" w:ascii="仿宋_GB2312" w:hAnsi="仿宋_GB2312" w:cs="仿宋_GB2312"/>
          <w:color w:val="auto"/>
          <w:sz w:val="32"/>
          <w:szCs w:val="24"/>
          <w:highlight w:val="none"/>
          <w:lang w:val="en-US" w:eastAsia="zh-CN" w:bidi="ar-SA"/>
        </w:rPr>
        <w:t>，</w:t>
      </w:r>
      <w:r>
        <w:rPr>
          <w:rFonts w:hint="eastAsia" w:ascii="仿宋_GB2312" w:hAnsi="仿宋_GB2312" w:eastAsia="仿宋_GB2312" w:cs="仿宋_GB2312"/>
          <w:color w:val="auto"/>
          <w:sz w:val="32"/>
          <w:szCs w:val="24"/>
          <w:highlight w:val="none"/>
          <w:lang w:val="en-US" w:eastAsia="zh-CN" w:bidi="ar-SA"/>
        </w:rPr>
        <w:t>不直接参与具体项目审批</w:t>
      </w:r>
      <w:r>
        <w:rPr>
          <w:rFonts w:hint="eastAsia" w:ascii="仿宋_GB2312" w:hAnsi="仿宋_GB2312" w:eastAsia="仿宋_GB2312" w:cs="仿宋_GB2312"/>
          <w:color w:val="auto"/>
          <w:sz w:val="32"/>
          <w:szCs w:val="24"/>
          <w:highlight w:val="none"/>
          <w:u w:val="none"/>
          <w:lang w:val="en-US" w:eastAsia="zh-CN" w:bidi="ar-SA"/>
        </w:rPr>
        <w:t>等事务</w:t>
      </w:r>
      <w:r>
        <w:rPr>
          <w:rFonts w:hint="eastAsia" w:ascii="仿宋_GB2312" w:hAnsi="仿宋_GB2312" w:eastAsia="仿宋_GB2312" w:cs="仿宋_GB2312"/>
          <w:color w:val="auto"/>
          <w:sz w:val="32"/>
          <w:szCs w:val="24"/>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0" w:leftChars="0" w:firstLine="640" w:firstLineChars="200"/>
        <w:textAlignment w:val="auto"/>
        <w:outlineLvl w:val="9"/>
        <w:rPr>
          <w:rFonts w:hint="eastAsia" w:ascii="Calibri" w:eastAsia="仿宋_GB2312" w:cs="Times New Roman"/>
          <w:color w:val="auto"/>
          <w:sz w:val="32"/>
          <w:szCs w:val="24"/>
          <w:highlight w:val="none"/>
          <w:lang w:val="en-US" w:eastAsia="zh-CN" w:bidi="ar-SA"/>
        </w:rPr>
      </w:pPr>
      <w:r>
        <w:rPr>
          <w:rFonts w:hint="eastAsia" w:ascii="仿宋_GB2312" w:hAnsi="仿宋_GB2312" w:eastAsia="仿宋_GB2312" w:cs="仿宋_GB2312"/>
          <w:color w:val="auto"/>
          <w:sz w:val="32"/>
          <w:szCs w:val="24"/>
          <w:highlight w:val="none"/>
          <w:lang w:val="en-US" w:eastAsia="zh-CN" w:bidi="ar-SA"/>
        </w:rPr>
        <w:t>省教育厅全面负责资金预算编制和执行，</w:t>
      </w:r>
      <w:r>
        <w:rPr>
          <w:rFonts w:hint="eastAsia" w:ascii="仿宋_GB2312" w:hAnsi="仿宋_GB2312" w:eastAsia="仿宋_GB2312" w:cs="仿宋_GB2312"/>
          <w:color w:val="auto"/>
          <w:sz w:val="32"/>
          <w:szCs w:val="24"/>
          <w:highlight w:val="none"/>
          <w:u w:val="none"/>
          <w:lang w:val="en-US" w:eastAsia="zh-CN" w:bidi="ar-SA"/>
        </w:rPr>
        <w:t>对资金支出进度、绩效、安全性和规范性等负责。</w:t>
      </w:r>
      <w:r>
        <w:rPr>
          <w:rFonts w:hint="eastAsia" w:ascii="仿宋_GB2312" w:hAnsi="仿宋_GB2312" w:eastAsia="仿宋_GB2312" w:cs="仿宋_GB2312"/>
          <w:color w:val="auto"/>
          <w:sz w:val="32"/>
          <w:szCs w:val="24"/>
          <w:highlight w:val="none"/>
          <w:lang w:val="en-US" w:eastAsia="zh-CN" w:bidi="ar-SA"/>
        </w:rPr>
        <w:t>对下达省直用款单位和市县的资</w:t>
      </w:r>
      <w:r>
        <w:rPr>
          <w:rFonts w:hint="eastAsia" w:ascii="Calibri" w:eastAsia="仿宋_GB2312" w:cs="Times New Roman"/>
          <w:color w:val="auto"/>
          <w:sz w:val="32"/>
          <w:szCs w:val="24"/>
          <w:highlight w:val="none"/>
          <w:lang w:val="en-US" w:eastAsia="zh-CN" w:bidi="ar-SA"/>
        </w:rPr>
        <w:t>金执行情况承担指导和监管责任</w:t>
      </w:r>
      <w:r>
        <w:rPr>
          <w:rFonts w:hint="eastAsia" w:cs="Times New Roman"/>
          <w:color w:val="auto"/>
          <w:sz w:val="32"/>
          <w:szCs w:val="24"/>
          <w:highlight w:val="none"/>
          <w:lang w:val="en-US" w:eastAsia="zh-CN" w:bidi="ar-SA"/>
        </w:rPr>
        <w:t>，</w:t>
      </w:r>
      <w:r>
        <w:rPr>
          <w:rFonts w:hint="eastAsia" w:ascii="Calibri" w:eastAsia="仿宋_GB2312" w:cs="Times New Roman"/>
          <w:color w:val="auto"/>
          <w:sz w:val="32"/>
          <w:szCs w:val="24"/>
          <w:highlight w:val="none"/>
          <w:lang w:val="en-US" w:eastAsia="zh-CN" w:bidi="ar-SA"/>
        </w:rPr>
        <w:t>负责部门项目库管理，申报资金预算、目录清单、绩效目标，制定明细分配方案</w:t>
      </w:r>
      <w:r>
        <w:rPr>
          <w:rFonts w:hint="eastAsia" w:cs="Times New Roman"/>
          <w:color w:val="auto"/>
          <w:sz w:val="32"/>
          <w:szCs w:val="24"/>
          <w:highlight w:val="none"/>
          <w:lang w:val="en-US" w:eastAsia="zh-CN" w:bidi="ar-SA"/>
        </w:rPr>
        <w:t>，</w:t>
      </w:r>
      <w:r>
        <w:rPr>
          <w:rFonts w:hint="eastAsia" w:ascii="Calibri" w:eastAsia="仿宋_GB2312" w:cs="Times New Roman"/>
          <w:color w:val="auto"/>
          <w:sz w:val="32"/>
          <w:szCs w:val="24"/>
          <w:highlight w:val="none"/>
          <w:lang w:val="en-US" w:eastAsia="zh-CN" w:bidi="ar-SA"/>
        </w:rPr>
        <w:t>下达任务清单，</w:t>
      </w:r>
      <w:r>
        <w:rPr>
          <w:rFonts w:hint="eastAsia" w:cs="Times New Roman"/>
          <w:color w:val="auto"/>
          <w:sz w:val="32"/>
          <w:szCs w:val="24"/>
          <w:highlight w:val="none"/>
          <w:lang w:val="en-US" w:eastAsia="zh-CN" w:bidi="ar-SA"/>
        </w:rPr>
        <w:t>开展信息公开，</w:t>
      </w:r>
      <w:r>
        <w:rPr>
          <w:rFonts w:hint="eastAsia" w:ascii="Calibri" w:eastAsia="仿宋_GB2312" w:cs="Times New Roman"/>
          <w:color w:val="auto"/>
          <w:sz w:val="32"/>
          <w:szCs w:val="24"/>
          <w:highlight w:val="none"/>
          <w:lang w:val="en-US" w:eastAsia="zh-CN" w:bidi="ar-SA"/>
        </w:rPr>
        <w:t>对资金执行情况</w:t>
      </w:r>
      <w:r>
        <w:rPr>
          <w:rFonts w:hint="eastAsia" w:ascii="Calibri" w:eastAsia="仿宋_GB2312" w:cs="Times New Roman"/>
          <w:color w:val="auto"/>
          <w:sz w:val="32"/>
          <w:szCs w:val="24"/>
          <w:highlight w:val="none"/>
          <w:u w:val="none"/>
          <w:lang w:val="en-US" w:eastAsia="zh-CN" w:bidi="ar-SA"/>
        </w:rPr>
        <w:t>和绩效运行进行日常</w:t>
      </w:r>
      <w:r>
        <w:rPr>
          <w:rFonts w:hint="eastAsia" w:ascii="Calibri" w:eastAsia="仿宋_GB2312" w:cs="Times New Roman"/>
          <w:color w:val="auto"/>
          <w:sz w:val="32"/>
          <w:szCs w:val="24"/>
          <w:highlight w:val="none"/>
          <w:lang w:val="en-US" w:eastAsia="zh-CN" w:bidi="ar-SA"/>
        </w:rPr>
        <w:t>跟踪监管</w:t>
      </w:r>
      <w:r>
        <w:rPr>
          <w:rFonts w:hint="eastAsia" w:ascii="Calibri" w:eastAsia="仿宋_GB2312" w:cs="Times New Roman"/>
          <w:color w:val="auto"/>
          <w:sz w:val="32"/>
          <w:szCs w:val="24"/>
          <w:highlight w:val="none"/>
          <w:u w:val="none"/>
          <w:lang w:val="en-US" w:eastAsia="zh-CN" w:bidi="ar-SA"/>
        </w:rPr>
        <w:t>，组织部门评价和用款单位自评</w:t>
      </w:r>
      <w:r>
        <w:rPr>
          <w:rFonts w:hint="eastAsia" w:cs="Times New Roman"/>
          <w:color w:val="auto"/>
          <w:sz w:val="32"/>
          <w:szCs w:val="24"/>
          <w:highlight w:val="none"/>
          <w:u w:val="none"/>
          <w:lang w:val="en-US" w:eastAsia="zh-CN" w:bidi="ar-SA"/>
        </w:rPr>
        <w:t>。</w:t>
      </w:r>
      <w:r>
        <w:rPr>
          <w:rFonts w:hint="eastAsia" w:ascii="仿宋_GB2312" w:hAnsi="仿宋_GB2312" w:eastAsia="仿宋_GB2312" w:cs="仿宋_GB2312"/>
          <w:b w:val="0"/>
          <w:bCs w:val="0"/>
          <w:color w:val="auto"/>
          <w:sz w:val="32"/>
          <w:szCs w:val="32"/>
          <w:highlight w:val="none"/>
          <w:u w:val="none" w:color="auto"/>
          <w:lang w:val="en-US" w:eastAsia="zh-CN"/>
        </w:rPr>
        <w:t>指导和督促市县</w:t>
      </w:r>
      <w:r>
        <w:rPr>
          <w:rFonts w:hint="eastAsia" w:ascii="仿宋_GB2312" w:hAnsi="仿宋_GB2312" w:cs="仿宋_GB2312"/>
          <w:b w:val="0"/>
          <w:bCs w:val="0"/>
          <w:color w:val="auto"/>
          <w:sz w:val="32"/>
          <w:szCs w:val="32"/>
          <w:highlight w:val="none"/>
          <w:u w:val="none" w:color="auto"/>
          <w:lang w:val="en-US" w:eastAsia="zh-CN"/>
        </w:rPr>
        <w:t>教育</w:t>
      </w:r>
      <w:r>
        <w:rPr>
          <w:rFonts w:hint="eastAsia" w:ascii="仿宋_GB2312" w:hAnsi="仿宋_GB2312" w:eastAsia="仿宋_GB2312" w:cs="仿宋_GB2312"/>
          <w:b w:val="0"/>
          <w:bCs w:val="0"/>
          <w:color w:val="auto"/>
          <w:sz w:val="32"/>
          <w:szCs w:val="32"/>
          <w:highlight w:val="none"/>
          <w:u w:val="none" w:color="auto"/>
          <w:lang w:val="en-US" w:eastAsia="zh-CN"/>
        </w:rPr>
        <w:t>主管部门加快资金分配，</w:t>
      </w:r>
      <w:r>
        <w:rPr>
          <w:rFonts w:hint="eastAsia" w:ascii="Calibri" w:eastAsia="仿宋_GB2312" w:cs="Times New Roman"/>
          <w:color w:val="auto"/>
          <w:sz w:val="32"/>
          <w:szCs w:val="24"/>
          <w:highlight w:val="none"/>
          <w:lang w:val="en-US" w:eastAsia="zh-CN" w:bidi="ar-SA"/>
        </w:rPr>
        <w:t>对保留省级审批权限的资金，组织项目验收或考评。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0" w:leftChars="0" w:firstLine="640" w:firstLineChars="200"/>
        <w:textAlignment w:val="auto"/>
        <w:outlineLvl w:val="9"/>
        <w:rPr>
          <w:rFonts w:hint="eastAsia" w:ascii="仿宋_GB2312" w:hAnsi="仿宋_GB2312" w:cs="仿宋_GB2312"/>
          <w:b w:val="0"/>
          <w:bCs w:val="0"/>
          <w:color w:val="auto"/>
          <w:sz w:val="32"/>
          <w:szCs w:val="32"/>
          <w:highlight w:val="none"/>
          <w:u w:val="none" w:color="auto"/>
          <w:lang w:val="en-US" w:eastAsia="zh-CN"/>
        </w:rPr>
      </w:pPr>
      <w:r>
        <w:rPr>
          <w:rFonts w:hint="eastAsia" w:ascii="黑体" w:hAnsi="黑体" w:eastAsia="黑体" w:cs="黑体"/>
          <w:color w:val="auto"/>
          <w:sz w:val="32"/>
          <w:szCs w:val="24"/>
          <w:highlight w:val="none"/>
          <w:lang w:eastAsia="zh-CN"/>
        </w:rPr>
        <w:t>第六条</w:t>
      </w:r>
      <w:r>
        <w:rPr>
          <w:rFonts w:hint="eastAsia" w:ascii="黑体" w:hAnsi="黑体" w:eastAsia="黑体" w:cs="黑体"/>
          <w:color w:val="auto"/>
          <w:sz w:val="32"/>
          <w:szCs w:val="24"/>
          <w:highlight w:val="none"/>
          <w:lang w:val="en-US" w:eastAsia="zh-CN"/>
        </w:rPr>
        <w:t xml:space="preserve"> </w:t>
      </w:r>
      <w:r>
        <w:rPr>
          <w:rFonts w:hint="eastAsia" w:ascii="仿宋_GB2312" w:hAnsi="仿宋_GB2312" w:eastAsia="仿宋_GB2312" w:cs="仿宋_GB2312"/>
          <w:b w:val="0"/>
          <w:bCs w:val="0"/>
          <w:color w:val="auto"/>
          <w:sz w:val="32"/>
          <w:szCs w:val="32"/>
          <w:highlight w:val="none"/>
          <w:u w:val="none" w:color="auto"/>
          <w:lang w:val="en-US" w:eastAsia="zh-CN"/>
        </w:rPr>
        <w:t>市县承担省级下达资金的预算执行主体责任</w:t>
      </w:r>
      <w:r>
        <w:rPr>
          <w:rFonts w:hint="eastAsia" w:ascii="仿宋_GB2312" w:hAnsi="仿宋_GB2312" w:cs="仿宋_GB2312"/>
          <w:b w:val="0"/>
          <w:bCs w:val="0"/>
          <w:color w:val="auto"/>
          <w:sz w:val="32"/>
          <w:szCs w:val="32"/>
          <w:highlight w:val="none"/>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0" w:leftChars="0" w:firstLine="640" w:firstLineChars="200"/>
        <w:textAlignment w:val="auto"/>
        <w:outlineLvl w:val="9"/>
        <w:rPr>
          <w:rFonts w:hint="eastAsia" w:ascii="Calibri" w:eastAsia="仿宋_GB2312" w:cs="Times New Roman"/>
          <w:color w:val="auto"/>
          <w:sz w:val="32"/>
          <w:szCs w:val="24"/>
          <w:highlight w:val="none"/>
          <w:lang w:val="en-US" w:eastAsia="zh-CN" w:bidi="ar-SA"/>
        </w:rPr>
      </w:pPr>
      <w:r>
        <w:rPr>
          <w:rFonts w:hint="eastAsia" w:ascii="Calibri" w:eastAsia="仿宋_GB2312" w:cs="Times New Roman"/>
          <w:color w:val="auto"/>
          <w:sz w:val="32"/>
          <w:szCs w:val="24"/>
          <w:highlight w:val="none"/>
          <w:lang w:val="en-US" w:eastAsia="zh-CN" w:bidi="ar-SA"/>
        </w:rPr>
        <w:t>市县财政部门将省下达的资金纳入预算全流程规范管理，做好资金转下达和拨付工作；接受省级监督检查和绩效评价等。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0" w:firstLine="640" w:firstLineChars="200"/>
        <w:textAlignment w:val="auto"/>
        <w:rPr>
          <w:rFonts w:hint="eastAsia" w:ascii="黑体" w:hAnsi="黑体" w:eastAsia="黑体" w:cs="黑体"/>
          <w:color w:val="auto"/>
          <w:kern w:val="2"/>
          <w:sz w:val="32"/>
          <w:szCs w:val="24"/>
          <w:highlight w:val="none"/>
          <w:lang w:val="en-US" w:eastAsia="zh-CN" w:bidi="ar-SA"/>
        </w:rPr>
      </w:pPr>
      <w:r>
        <w:rPr>
          <w:rFonts w:hint="eastAsia" w:ascii="Calibri" w:eastAsia="仿宋_GB2312" w:cs="Times New Roman"/>
          <w:color w:val="auto"/>
          <w:sz w:val="32"/>
          <w:szCs w:val="24"/>
          <w:highlight w:val="none"/>
          <w:lang w:val="en-US" w:eastAsia="zh-CN" w:bidi="ar-SA"/>
        </w:rPr>
        <w:t>市县教育主管部门承担省级下达资金的预算执行、绩效目标监控、任务清单实施的主体责任，确保完成省教育厅下达的任务清单和绩效目标；负责市县项目库管理，组织项目实施和监管，加强资金管理，做好信息公开、绩效自评、项目验收考评等工作；接受省级监督检查和绩效评价。</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360" w:lineRule="auto"/>
        <w:ind w:left="0" w:firstLine="640" w:firstLineChars="200"/>
        <w:textAlignment w:val="auto"/>
        <w:rPr>
          <w:rFonts w:hint="eastAsia" w:ascii="Calibri" w:hAnsi="Calibri" w:eastAsia="仿宋_GB2312" w:cs="Times New Roman"/>
          <w:color w:val="auto"/>
          <w:sz w:val="32"/>
          <w:szCs w:val="24"/>
          <w:highlight w:val="none"/>
          <w:lang w:val="en-US" w:eastAsia="zh-CN" w:bidi="ar-SA"/>
        </w:rPr>
      </w:pPr>
      <w:r>
        <w:rPr>
          <w:rFonts w:hint="eastAsia" w:ascii="黑体" w:hAnsi="黑体" w:eastAsia="黑体" w:cs="黑体"/>
          <w:color w:val="auto"/>
          <w:kern w:val="2"/>
          <w:sz w:val="32"/>
          <w:szCs w:val="24"/>
          <w:highlight w:val="none"/>
          <w:lang w:val="en-US" w:eastAsia="zh-CN" w:bidi="ar-SA"/>
        </w:rPr>
        <w:t xml:space="preserve">第七条 </w:t>
      </w:r>
      <w:r>
        <w:rPr>
          <w:rFonts w:hint="eastAsia" w:ascii="Calibri" w:hAnsi="Calibri" w:eastAsia="仿宋_GB2312" w:cs="Times New Roman"/>
          <w:color w:val="auto"/>
          <w:sz w:val="32"/>
          <w:szCs w:val="24"/>
          <w:highlight w:val="none"/>
          <w:lang w:val="en-US" w:eastAsia="zh-CN" w:bidi="ar-SA"/>
        </w:rPr>
        <w:t>用款单位对项目实施和资金使用负责，严格执行资金预算，具体组织项目实施，加强财务管理，接受验收考评、监督检查和绩效评价。</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360" w:lineRule="auto"/>
        <w:ind w:left="0" w:leftChars="0" w:firstLine="640" w:firstLineChars="200"/>
        <w:textAlignment w:val="auto"/>
        <w:rPr>
          <w:rFonts w:hint="eastAsia" w:ascii="Calibri" w:hAnsi="Calibri" w:eastAsia="仿宋_GB2312" w:cs="Times New Roman"/>
          <w:color w:val="auto"/>
          <w:sz w:val="32"/>
          <w:szCs w:val="24"/>
          <w:highlight w:val="none"/>
        </w:r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0" w:firstLineChars="0"/>
        <w:jc w:val="center"/>
        <w:textAlignment w:val="auto"/>
        <w:rPr>
          <w:rFonts w:hint="eastAsia" w:ascii="Calibri" w:hAnsi="Calibri" w:eastAsia="仿宋_GB2312"/>
          <w:color w:val="auto"/>
          <w:sz w:val="32"/>
          <w:szCs w:val="24"/>
          <w:highlight w:val="none"/>
        </w:rPr>
      </w:pPr>
      <w:r>
        <w:rPr>
          <w:rFonts w:hint="eastAsia" w:ascii="黑体" w:hAnsi="黑体" w:eastAsia="黑体" w:cs="黑体"/>
          <w:color w:val="auto"/>
          <w:sz w:val="32"/>
          <w:szCs w:val="24"/>
          <w:highlight w:val="none"/>
        </w:rPr>
        <w:t>第三章</w:t>
      </w:r>
      <w:r>
        <w:rPr>
          <w:rFonts w:hint="eastAsia" w:ascii="黑体" w:hAnsi="黑体" w:eastAsia="黑体" w:cs="黑体"/>
          <w:color w:val="auto"/>
          <w:sz w:val="32"/>
          <w:szCs w:val="24"/>
          <w:highlight w:val="none"/>
          <w:lang w:val="en-US" w:eastAsia="zh-CN"/>
        </w:rPr>
        <w:t xml:space="preserve">  预算编制</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640" w:firstLineChars="200"/>
        <w:textAlignment w:val="auto"/>
        <w:rPr>
          <w:rFonts w:hint="eastAsia" w:ascii="Calibri" w:hAnsi="Calibri" w:eastAsia="仿宋_GB2312"/>
          <w:color w:val="auto"/>
          <w:sz w:val="32"/>
          <w:szCs w:val="24"/>
          <w:highlight w:val="none"/>
        </w:rPr>
      </w:pPr>
      <w:r>
        <w:rPr>
          <w:rFonts w:hint="eastAsia" w:ascii="黑体" w:hAnsi="黑体" w:eastAsia="黑体" w:cs="黑体"/>
          <w:color w:val="auto"/>
          <w:sz w:val="32"/>
          <w:szCs w:val="24"/>
          <w:highlight w:val="none"/>
        </w:rPr>
        <w:t>第</w:t>
      </w:r>
      <w:r>
        <w:rPr>
          <w:rFonts w:hint="eastAsia" w:ascii="黑体" w:hAnsi="黑体" w:eastAsia="黑体" w:cs="黑体"/>
          <w:color w:val="auto"/>
          <w:sz w:val="32"/>
          <w:szCs w:val="24"/>
          <w:highlight w:val="none"/>
          <w:lang w:eastAsia="zh-CN"/>
        </w:rPr>
        <w:t>八</w:t>
      </w:r>
      <w:r>
        <w:rPr>
          <w:rFonts w:hint="eastAsia" w:ascii="黑体" w:hAnsi="黑体" w:eastAsia="黑体" w:cs="黑体"/>
          <w:color w:val="auto"/>
          <w:sz w:val="32"/>
          <w:szCs w:val="24"/>
          <w:highlight w:val="none"/>
        </w:rPr>
        <w:t>条</w:t>
      </w:r>
      <w:r>
        <w:rPr>
          <w:rFonts w:hint="eastAsia" w:ascii="Calibri" w:hAnsi="Calibri" w:eastAsia="仿宋_GB2312" w:cs="Times New Roman"/>
          <w:color w:val="auto"/>
          <w:sz w:val="32"/>
          <w:szCs w:val="24"/>
          <w:highlight w:val="none"/>
        </w:rPr>
        <w:t xml:space="preserve"> </w:t>
      </w:r>
      <w:r>
        <w:rPr>
          <w:rFonts w:hint="eastAsia" w:ascii="Calibri" w:hAnsi="Calibri" w:eastAsia="仿宋_GB2312"/>
          <w:color w:val="auto"/>
          <w:sz w:val="32"/>
          <w:szCs w:val="24"/>
          <w:highlight w:val="none"/>
          <w:lang w:eastAsia="zh-CN"/>
        </w:rPr>
        <w:t>“扩提强”资金</w:t>
      </w:r>
      <w:r>
        <w:rPr>
          <w:rFonts w:hint="eastAsia" w:ascii="Calibri" w:hAnsi="Calibri" w:eastAsia="仿宋_GB2312"/>
          <w:color w:val="auto"/>
          <w:sz w:val="32"/>
          <w:szCs w:val="24"/>
          <w:highlight w:val="none"/>
          <w:lang w:val="en-US" w:eastAsia="zh-CN"/>
        </w:rPr>
        <w:t>使用方向为：中职“强发展”和高职“提水平”，</w:t>
      </w:r>
      <w:r>
        <w:rPr>
          <w:rFonts w:hint="eastAsia" w:ascii="Calibri" w:hAnsi="Calibri" w:eastAsia="仿宋_GB2312"/>
          <w:color w:val="auto"/>
          <w:sz w:val="32"/>
          <w:szCs w:val="24"/>
          <w:highlight w:val="none"/>
          <w:lang w:eastAsia="zh-CN"/>
        </w:rPr>
        <w:t>主要</w:t>
      </w:r>
      <w:r>
        <w:rPr>
          <w:rFonts w:hint="eastAsia"/>
          <w:color w:val="auto"/>
          <w:sz w:val="32"/>
          <w:szCs w:val="24"/>
          <w:highlight w:val="none"/>
          <w:lang w:eastAsia="zh-CN"/>
        </w:rPr>
        <w:t>用于</w:t>
      </w:r>
      <w:r>
        <w:rPr>
          <w:rFonts w:hint="eastAsia" w:ascii="Calibri" w:hAnsi="Calibri" w:eastAsia="仿宋_GB2312"/>
          <w:color w:val="auto"/>
          <w:sz w:val="32"/>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640" w:firstLineChars="200"/>
        <w:textAlignment w:val="auto"/>
        <w:rPr>
          <w:rFonts w:hint="eastAsia" w:ascii="Calibri" w:hAnsi="Calibri" w:eastAsia="仿宋_GB2312"/>
          <w:color w:val="auto"/>
          <w:sz w:val="32"/>
          <w:szCs w:val="24"/>
          <w:highlight w:val="none"/>
          <w:lang w:eastAsia="zh-CN"/>
        </w:rPr>
      </w:pPr>
      <w:r>
        <w:rPr>
          <w:rFonts w:hint="eastAsia" w:ascii="Calibri" w:hAnsi="Calibri" w:eastAsia="仿宋_GB2312"/>
          <w:color w:val="auto"/>
          <w:sz w:val="32"/>
          <w:szCs w:val="24"/>
          <w:highlight w:val="none"/>
        </w:rPr>
        <w:t>（</w:t>
      </w:r>
      <w:r>
        <w:rPr>
          <w:rFonts w:hint="eastAsia"/>
          <w:color w:val="auto"/>
          <w:sz w:val="32"/>
          <w:szCs w:val="24"/>
          <w:highlight w:val="none"/>
          <w:lang w:eastAsia="zh-CN"/>
        </w:rPr>
        <w:t>一</w:t>
      </w:r>
      <w:r>
        <w:rPr>
          <w:rFonts w:hint="eastAsia" w:ascii="Calibri" w:hAnsi="Calibri" w:eastAsia="仿宋_GB2312"/>
          <w:color w:val="auto"/>
          <w:sz w:val="32"/>
          <w:szCs w:val="24"/>
          <w:highlight w:val="none"/>
        </w:rPr>
        <w:t>）</w:t>
      </w:r>
      <w:r>
        <w:rPr>
          <w:rFonts w:hint="eastAsia" w:ascii="Calibri" w:hAnsi="Calibri" w:eastAsia="仿宋_GB2312"/>
          <w:color w:val="auto"/>
          <w:sz w:val="32"/>
          <w:szCs w:val="24"/>
          <w:highlight w:val="none"/>
          <w:lang w:eastAsia="zh-CN"/>
        </w:rPr>
        <w:t>国家“双高计划”省财政支持资金，用于有关学校（不含深圳</w:t>
      </w:r>
      <w:r>
        <w:rPr>
          <w:rFonts w:hint="eastAsia" w:ascii="Calibri" w:hAnsi="Calibri" w:eastAsia="仿宋_GB2312"/>
          <w:color w:val="auto"/>
          <w:sz w:val="32"/>
          <w:szCs w:val="24"/>
          <w:highlight w:val="none"/>
          <w:u w:val="none"/>
          <w:lang w:eastAsia="zh-CN"/>
        </w:rPr>
        <w:t>和央属院校</w:t>
      </w:r>
      <w:r>
        <w:rPr>
          <w:rFonts w:hint="eastAsia" w:ascii="Calibri" w:hAnsi="Calibri" w:eastAsia="仿宋_GB2312"/>
          <w:color w:val="auto"/>
          <w:sz w:val="32"/>
          <w:szCs w:val="24"/>
          <w:highlight w:val="none"/>
          <w:lang w:eastAsia="zh-CN"/>
        </w:rPr>
        <w:t>）实施国家“双高计划”项目建设。</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640" w:firstLineChars="200"/>
        <w:textAlignment w:val="auto"/>
        <w:rPr>
          <w:rFonts w:hint="eastAsia" w:ascii="Calibri" w:hAnsi="Calibri" w:eastAsia="仿宋_GB2312"/>
          <w:color w:val="auto"/>
          <w:sz w:val="32"/>
          <w:szCs w:val="24"/>
          <w:highlight w:val="none"/>
          <w:lang w:eastAsia="zh-CN"/>
        </w:rPr>
      </w:pPr>
      <w:r>
        <w:rPr>
          <w:rFonts w:hint="eastAsia" w:ascii="Calibri" w:hAnsi="Calibri" w:eastAsia="仿宋_GB2312"/>
          <w:color w:val="auto"/>
          <w:sz w:val="32"/>
          <w:szCs w:val="24"/>
          <w:highlight w:val="none"/>
          <w:lang w:eastAsia="zh-CN"/>
        </w:rPr>
        <w:t>（</w:t>
      </w:r>
      <w:r>
        <w:rPr>
          <w:rFonts w:hint="eastAsia"/>
          <w:color w:val="auto"/>
          <w:sz w:val="32"/>
          <w:szCs w:val="24"/>
          <w:highlight w:val="none"/>
          <w:lang w:eastAsia="zh-CN"/>
        </w:rPr>
        <w:t>二</w:t>
      </w:r>
      <w:r>
        <w:rPr>
          <w:rFonts w:hint="eastAsia" w:ascii="Calibri" w:hAnsi="Calibri" w:eastAsia="仿宋_GB2312"/>
          <w:color w:val="auto"/>
          <w:sz w:val="32"/>
          <w:szCs w:val="24"/>
          <w:highlight w:val="none"/>
          <w:lang w:eastAsia="zh-CN"/>
        </w:rPr>
        <w:t>）高等职业教育“创新强校工程”奖补资金，主要用于支持公办高职院校（含本科层次职业学校，不含深圳和央属院校）落实国家和省工作部署，实施“创新强校工程”建设规划，重点保障</w:t>
      </w:r>
      <w:r>
        <w:rPr>
          <w:rFonts w:hint="eastAsia" w:ascii="Calibri" w:hAnsi="Calibri"/>
          <w:color w:val="auto"/>
          <w:sz w:val="32"/>
          <w:szCs w:val="24"/>
          <w:highlight w:val="none"/>
          <w:u w:val="none"/>
          <w:lang w:eastAsia="zh-CN"/>
        </w:rPr>
        <w:t>办学条件达标等</w:t>
      </w:r>
      <w:r>
        <w:rPr>
          <w:rFonts w:hint="eastAsia" w:ascii="Calibri" w:hAnsi="Calibri" w:eastAsia="仿宋_GB2312"/>
          <w:color w:val="auto"/>
          <w:sz w:val="32"/>
          <w:szCs w:val="24"/>
          <w:highlight w:val="none"/>
          <w:lang w:eastAsia="zh-CN"/>
        </w:rPr>
        <w:t>国家和省高职教育政策任务和重点项目。</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640" w:firstLineChars="200"/>
        <w:textAlignment w:val="auto"/>
        <w:rPr>
          <w:rFonts w:hint="eastAsia" w:ascii="Calibri" w:hAnsi="Calibri" w:eastAsia="仿宋_GB2312"/>
          <w:color w:val="auto"/>
          <w:sz w:val="32"/>
          <w:szCs w:val="24"/>
          <w:highlight w:val="none"/>
          <w:lang w:eastAsia="zh-CN"/>
        </w:rPr>
      </w:pPr>
      <w:r>
        <w:rPr>
          <w:rFonts w:hint="eastAsia" w:ascii="Calibri" w:hAnsi="Calibri" w:eastAsia="仿宋_GB2312"/>
          <w:color w:val="auto"/>
          <w:sz w:val="32"/>
          <w:szCs w:val="24"/>
          <w:highlight w:val="none"/>
          <w:lang w:eastAsia="zh-CN"/>
        </w:rPr>
        <w:t>（</w:t>
      </w:r>
      <w:r>
        <w:rPr>
          <w:rFonts w:hint="eastAsia"/>
          <w:color w:val="auto"/>
          <w:sz w:val="32"/>
          <w:szCs w:val="24"/>
          <w:highlight w:val="none"/>
          <w:lang w:eastAsia="zh-CN"/>
        </w:rPr>
        <w:t>三</w:t>
      </w:r>
      <w:r>
        <w:rPr>
          <w:rFonts w:hint="eastAsia" w:ascii="Calibri" w:hAnsi="Calibri" w:eastAsia="仿宋_GB2312"/>
          <w:color w:val="auto"/>
          <w:sz w:val="32"/>
          <w:szCs w:val="24"/>
          <w:highlight w:val="none"/>
          <w:lang w:eastAsia="zh-CN"/>
        </w:rPr>
        <w:t>）经济欠发达地市中职学校发展奖补资金，用于奖补经济欠发达地市</w:t>
      </w:r>
      <w:r>
        <w:rPr>
          <w:rFonts w:hint="eastAsia" w:ascii="Calibri" w:hAnsi="Calibri" w:eastAsia="仿宋_GB2312"/>
          <w:color w:val="auto"/>
          <w:sz w:val="32"/>
          <w:szCs w:val="24"/>
          <w:highlight w:val="none"/>
          <w:u w:val="none"/>
          <w:lang w:eastAsia="zh-CN"/>
        </w:rPr>
        <w:t>改善办学条件</w:t>
      </w:r>
      <w:r>
        <w:rPr>
          <w:rFonts w:hint="eastAsia" w:ascii="Calibri" w:hAnsi="Calibri"/>
          <w:color w:val="auto"/>
          <w:sz w:val="32"/>
          <w:szCs w:val="24"/>
          <w:highlight w:val="none"/>
          <w:u w:val="none"/>
          <w:lang w:eastAsia="zh-CN"/>
        </w:rPr>
        <w:t>，</w:t>
      </w:r>
      <w:r>
        <w:rPr>
          <w:rFonts w:hint="eastAsia" w:ascii="Calibri" w:hAnsi="Calibri" w:eastAsia="仿宋_GB2312"/>
          <w:color w:val="auto"/>
          <w:sz w:val="32"/>
          <w:szCs w:val="24"/>
          <w:highlight w:val="none"/>
          <w:lang w:eastAsia="zh-CN"/>
        </w:rPr>
        <w:t>加强高水平中职学校建设</w:t>
      </w:r>
      <w:r>
        <w:rPr>
          <w:rFonts w:hint="eastAsia" w:ascii="Calibri" w:hAnsi="Calibri" w:eastAsia="仿宋_GB2312"/>
          <w:color w:val="auto"/>
          <w:sz w:val="32"/>
          <w:szCs w:val="24"/>
          <w:highlight w:val="none"/>
          <w:lang w:val="en"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640" w:firstLineChars="200"/>
        <w:textAlignment w:val="auto"/>
        <w:rPr>
          <w:rFonts w:hint="eastAsia" w:ascii="Calibri" w:hAnsi="Calibri" w:eastAsia="仿宋_GB2312"/>
          <w:color w:val="auto"/>
          <w:sz w:val="32"/>
          <w:szCs w:val="24"/>
          <w:highlight w:val="none"/>
          <w:lang w:val="en-US" w:eastAsia="zh-CN"/>
        </w:rPr>
      </w:pPr>
      <w:r>
        <w:rPr>
          <w:rFonts w:hint="eastAsia" w:ascii="Calibri" w:hAnsi="Calibri" w:eastAsia="仿宋_GB2312"/>
          <w:color w:val="auto"/>
          <w:sz w:val="32"/>
          <w:szCs w:val="24"/>
          <w:highlight w:val="none"/>
          <w:lang w:eastAsia="zh-CN"/>
        </w:rPr>
        <w:t>（</w:t>
      </w:r>
      <w:r>
        <w:rPr>
          <w:rFonts w:hint="eastAsia"/>
          <w:color w:val="auto"/>
          <w:sz w:val="32"/>
          <w:szCs w:val="24"/>
          <w:highlight w:val="none"/>
          <w:lang w:eastAsia="zh-CN"/>
        </w:rPr>
        <w:t>四</w:t>
      </w:r>
      <w:r>
        <w:rPr>
          <w:rFonts w:hint="eastAsia" w:ascii="Calibri" w:hAnsi="Calibri" w:eastAsia="仿宋_GB2312"/>
          <w:color w:val="auto"/>
          <w:sz w:val="32"/>
          <w:szCs w:val="24"/>
          <w:highlight w:val="none"/>
          <w:lang w:eastAsia="zh-CN"/>
        </w:rPr>
        <w:t>）省属职业院校集团办学奖补资金，用于支持集团办学学校加快原中职校区升级改造和集团办学相关保障项目，确保集团办学</w:t>
      </w:r>
      <w:r>
        <w:rPr>
          <w:rFonts w:hint="eastAsia"/>
          <w:color w:val="auto"/>
          <w:sz w:val="32"/>
          <w:szCs w:val="24"/>
          <w:highlight w:val="none"/>
          <w:u w:val="none"/>
          <w:lang w:eastAsia="zh-CN"/>
        </w:rPr>
        <w:t>工作</w:t>
      </w:r>
      <w:r>
        <w:rPr>
          <w:rFonts w:hint="eastAsia" w:ascii="Calibri" w:hAnsi="Calibri" w:eastAsia="仿宋_GB2312"/>
          <w:color w:val="auto"/>
          <w:sz w:val="32"/>
          <w:szCs w:val="24"/>
          <w:highlight w:val="none"/>
          <w:lang w:eastAsia="zh-CN"/>
        </w:rPr>
        <w:t>顺利推进。</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640" w:firstLineChars="200"/>
        <w:textAlignment w:val="auto"/>
        <w:rPr>
          <w:rFonts w:hint="eastAsia" w:ascii="Calibri" w:hAnsi="Calibri" w:eastAsia="仿宋_GB2312"/>
          <w:color w:val="auto"/>
          <w:sz w:val="32"/>
          <w:szCs w:val="24"/>
          <w:highlight w:val="none"/>
          <w:lang w:val="en-US" w:eastAsia="zh-CN"/>
        </w:rPr>
      </w:pPr>
      <w:r>
        <w:rPr>
          <w:rFonts w:hint="eastAsia" w:ascii="Calibri" w:hAnsi="Calibri" w:eastAsia="仿宋_GB2312"/>
          <w:color w:val="auto"/>
          <w:sz w:val="32"/>
          <w:szCs w:val="24"/>
          <w:highlight w:val="none"/>
          <w:lang w:val="en-US" w:eastAsia="zh-CN"/>
        </w:rPr>
        <w:t>资金重点</w:t>
      </w:r>
      <w:r>
        <w:rPr>
          <w:rFonts w:hint="eastAsia"/>
          <w:color w:val="auto"/>
          <w:sz w:val="32"/>
          <w:szCs w:val="24"/>
          <w:highlight w:val="none"/>
          <w:lang w:val="en-US" w:eastAsia="zh-CN"/>
        </w:rPr>
        <w:t>支持</w:t>
      </w:r>
      <w:r>
        <w:rPr>
          <w:rFonts w:hint="eastAsia" w:ascii="Calibri" w:hAnsi="Calibri" w:eastAsia="仿宋_GB2312"/>
          <w:color w:val="auto"/>
          <w:sz w:val="32"/>
          <w:szCs w:val="24"/>
          <w:highlight w:val="none"/>
          <w:lang w:val="en-US" w:eastAsia="zh-CN"/>
        </w:rPr>
        <w:t>实施办学条件达标工程和制造业当家相关专业建设。资金使用范围根据职业教育改革发展重点任务和要求调整优化，调整的资金使用范围按程序在编制</w:t>
      </w:r>
      <w:r>
        <w:rPr>
          <w:rFonts w:hint="eastAsia"/>
          <w:color w:val="auto"/>
          <w:sz w:val="32"/>
          <w:szCs w:val="24"/>
          <w:highlight w:val="none"/>
          <w:lang w:val="en-US" w:eastAsia="zh-CN"/>
        </w:rPr>
        <w:t>专项资金</w:t>
      </w:r>
      <w:r>
        <w:rPr>
          <w:rFonts w:hint="eastAsia" w:ascii="Calibri" w:hAnsi="Calibri"/>
          <w:color w:val="auto"/>
          <w:sz w:val="32"/>
          <w:szCs w:val="24"/>
          <w:highlight w:val="none"/>
          <w:lang w:val="en-US" w:eastAsia="zh-CN"/>
        </w:rPr>
        <w:t>目录清单</w:t>
      </w:r>
      <w:r>
        <w:rPr>
          <w:rFonts w:hint="eastAsia" w:ascii="Calibri" w:hAnsi="Calibri" w:eastAsia="仿宋_GB2312"/>
          <w:color w:val="auto"/>
          <w:sz w:val="32"/>
          <w:szCs w:val="24"/>
          <w:highlight w:val="none"/>
          <w:lang w:val="en-US" w:eastAsia="zh-CN"/>
        </w:rPr>
        <w:t>时报批。</w:t>
      </w:r>
    </w:p>
    <w:p>
      <w:pPr>
        <w:keepNext w:val="0"/>
        <w:keepLines w:val="0"/>
        <w:pageBreakBefore w:val="0"/>
        <w:widowControl w:val="0"/>
        <w:kinsoku/>
        <w:wordWrap/>
        <w:overflowPunct/>
        <w:topLinePunct w:val="0"/>
        <w:autoSpaceDE/>
        <w:autoSpaceDN/>
        <w:bidi w:val="0"/>
        <w:adjustRightInd w:val="0"/>
        <w:snapToGrid w:val="0"/>
        <w:spacing w:beforeLines="0" w:after="0" w:afterLines="0" w:afterAutospacing="0" w:line="360" w:lineRule="auto"/>
        <w:ind w:firstLine="640" w:firstLineChars="200"/>
        <w:textAlignment w:val="auto"/>
        <w:rPr>
          <w:rFonts w:hint="eastAsia" w:ascii="Calibri" w:hAnsi="Calibri" w:eastAsia="仿宋_GB2312"/>
          <w:color w:val="auto"/>
          <w:sz w:val="32"/>
          <w:szCs w:val="24"/>
          <w:highlight w:val="none"/>
        </w:rPr>
      </w:pPr>
      <w:r>
        <w:rPr>
          <w:rFonts w:hint="eastAsia" w:ascii="黑体" w:hAnsi="黑体" w:eastAsia="黑体" w:cs="黑体"/>
          <w:color w:val="auto"/>
          <w:sz w:val="32"/>
          <w:szCs w:val="24"/>
          <w:highlight w:val="none"/>
        </w:rPr>
        <w:t>第</w:t>
      </w:r>
      <w:r>
        <w:rPr>
          <w:rFonts w:hint="eastAsia" w:ascii="黑体" w:hAnsi="黑体" w:eastAsia="黑体" w:cs="黑体"/>
          <w:color w:val="auto"/>
          <w:sz w:val="32"/>
          <w:szCs w:val="24"/>
          <w:highlight w:val="none"/>
          <w:lang w:eastAsia="zh-CN"/>
        </w:rPr>
        <w:t>九</w:t>
      </w:r>
      <w:r>
        <w:rPr>
          <w:rFonts w:hint="eastAsia" w:ascii="黑体" w:hAnsi="黑体" w:eastAsia="黑体" w:cs="黑体"/>
          <w:color w:val="auto"/>
          <w:sz w:val="32"/>
          <w:szCs w:val="24"/>
          <w:highlight w:val="none"/>
        </w:rPr>
        <w:t>条</w:t>
      </w:r>
      <w:r>
        <w:rPr>
          <w:rFonts w:hint="eastAsia" w:ascii="Calibri" w:hAnsi="Calibri" w:eastAsia="仿宋_GB2312" w:cs="Times New Roman"/>
          <w:color w:val="auto"/>
          <w:sz w:val="32"/>
          <w:szCs w:val="24"/>
          <w:highlight w:val="none"/>
          <w:lang w:val="en-US" w:eastAsia="zh-CN"/>
        </w:rPr>
        <w:t xml:space="preserve"> </w:t>
      </w:r>
      <w:r>
        <w:rPr>
          <w:rFonts w:hint="eastAsia" w:ascii="Calibri" w:hAnsi="Calibri" w:eastAsia="仿宋_GB2312"/>
          <w:color w:val="auto"/>
          <w:sz w:val="32"/>
          <w:szCs w:val="24"/>
          <w:highlight w:val="none"/>
        </w:rPr>
        <w:t>资金不得用于偿还贷款、支付罚款、捐赠、赞助、对外投资等支出，不得用于人员经费支出以及日常公用经费开支，不得用于平衡校内预算。</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Lines="0" w:after="0" w:afterLines="0" w:afterAutospacing="0" w:line="360" w:lineRule="auto"/>
        <w:ind w:left="0" w:firstLine="640" w:firstLineChars="200"/>
        <w:jc w:val="both"/>
        <w:textAlignment w:val="auto"/>
        <w:outlineLvl w:val="9"/>
        <w:rPr>
          <w:rFonts w:hint="eastAsia" w:ascii="Calibri" w:hAnsi="Calibri" w:eastAsia="仿宋_GB2312" w:cs="Times New Roman"/>
          <w:color w:val="auto"/>
          <w:kern w:val="2"/>
          <w:sz w:val="32"/>
          <w:highlight w:val="none"/>
          <w:u w:val="none"/>
          <w:lang w:val="en-US" w:eastAsia="zh-CN" w:bidi="ar-SA"/>
        </w:rPr>
      </w:pPr>
      <w:r>
        <w:rPr>
          <w:rFonts w:hint="eastAsia" w:ascii="黑体" w:hAnsi="黑体" w:eastAsia="黑体" w:cs="黑体"/>
          <w:color w:val="auto"/>
          <w:sz w:val="32"/>
          <w:szCs w:val="24"/>
          <w:highlight w:val="none"/>
          <w:lang w:eastAsia="zh-CN"/>
        </w:rPr>
        <w:t>第十条</w:t>
      </w:r>
      <w:r>
        <w:rPr>
          <w:rFonts w:hint="eastAsia" w:ascii="Calibri" w:hAnsi="Calibri" w:eastAsia="仿宋_GB2312"/>
          <w:color w:val="auto"/>
          <w:sz w:val="32"/>
          <w:szCs w:val="24"/>
          <w:highlight w:val="none"/>
          <w:lang w:val="en-US" w:eastAsia="zh-CN"/>
        </w:rPr>
        <w:t xml:space="preserve"> </w:t>
      </w:r>
      <w:r>
        <w:rPr>
          <w:rFonts w:hint="eastAsia" w:ascii="仿宋_GB2312" w:hAnsi="仿宋_GB2312" w:eastAsia="仿宋_GB2312" w:cs="仿宋_GB2312"/>
          <w:b w:val="0"/>
          <w:bCs w:val="0"/>
          <w:color w:val="auto"/>
          <w:sz w:val="32"/>
          <w:szCs w:val="32"/>
          <w:highlight w:val="none"/>
          <w:u w:val="none" w:color="auto"/>
          <w:lang w:eastAsia="zh-CN"/>
        </w:rPr>
        <w:t>各级</w:t>
      </w:r>
      <w:r>
        <w:rPr>
          <w:rFonts w:hint="eastAsia" w:ascii="仿宋_GB2312" w:hAnsi="仿宋_GB2312" w:cs="仿宋_GB2312"/>
          <w:b w:val="0"/>
          <w:bCs w:val="0"/>
          <w:color w:val="auto"/>
          <w:sz w:val="32"/>
          <w:szCs w:val="32"/>
          <w:highlight w:val="none"/>
          <w:u w:val="none" w:color="auto"/>
          <w:lang w:eastAsia="zh-CN"/>
        </w:rPr>
        <w:t>教育主管</w:t>
      </w:r>
      <w:r>
        <w:rPr>
          <w:rFonts w:hint="eastAsia" w:ascii="仿宋_GB2312" w:hAnsi="仿宋_GB2312" w:eastAsia="仿宋_GB2312" w:cs="仿宋_GB2312"/>
          <w:b w:val="0"/>
          <w:bCs w:val="0"/>
          <w:color w:val="auto"/>
          <w:sz w:val="32"/>
          <w:szCs w:val="32"/>
          <w:highlight w:val="none"/>
          <w:u w:val="none" w:color="auto"/>
          <w:lang w:eastAsia="zh-CN"/>
        </w:rPr>
        <w:t>部门应当按照“谁审批项目、谁组织申报”的原则开展项目储备，</w:t>
      </w:r>
      <w:r>
        <w:rPr>
          <w:rFonts w:hint="eastAsia"/>
          <w:color w:val="auto"/>
          <w:sz w:val="32"/>
          <w:szCs w:val="24"/>
          <w:highlight w:val="none"/>
          <w:lang w:eastAsia="zh-CN"/>
        </w:rPr>
        <w:t>并</w:t>
      </w:r>
      <w:r>
        <w:rPr>
          <w:rFonts w:hint="eastAsia" w:ascii="Calibri" w:hAnsi="Calibri" w:eastAsia="仿宋_GB2312" w:cs="Times New Roman"/>
          <w:color w:val="auto"/>
          <w:kern w:val="2"/>
          <w:sz w:val="32"/>
          <w:highlight w:val="none"/>
          <w:u w:val="none"/>
          <w:lang w:val="en-US" w:eastAsia="zh-CN" w:bidi="ar-SA"/>
        </w:rPr>
        <w:t>提前一年组织</w:t>
      </w:r>
      <w:r>
        <w:rPr>
          <w:rFonts w:hint="eastAsia" w:cs="Times New Roman"/>
          <w:color w:val="auto"/>
          <w:kern w:val="2"/>
          <w:sz w:val="32"/>
          <w:highlight w:val="none"/>
          <w:u w:val="none"/>
          <w:lang w:val="en-US" w:eastAsia="zh-CN" w:bidi="ar-SA"/>
        </w:rPr>
        <w:t>项目谋划、</w:t>
      </w:r>
      <w:r>
        <w:rPr>
          <w:rFonts w:hint="eastAsia" w:ascii="Calibri" w:hAnsi="Calibri" w:eastAsia="仿宋_GB2312" w:cs="Times New Roman"/>
          <w:color w:val="auto"/>
          <w:kern w:val="2"/>
          <w:sz w:val="32"/>
          <w:highlight w:val="none"/>
          <w:u w:val="none"/>
          <w:lang w:val="en-US" w:eastAsia="zh-CN" w:bidi="ar-SA"/>
        </w:rPr>
        <w:t>项目论证</w:t>
      </w:r>
      <w:r>
        <w:rPr>
          <w:rFonts w:hint="eastAsia" w:cs="Times New Roman"/>
          <w:color w:val="auto"/>
          <w:kern w:val="2"/>
          <w:sz w:val="32"/>
          <w:highlight w:val="none"/>
          <w:u w:val="none"/>
          <w:lang w:val="en-US" w:eastAsia="zh-CN" w:bidi="ar-SA"/>
        </w:rPr>
        <w:t>、</w:t>
      </w:r>
      <w:r>
        <w:rPr>
          <w:rFonts w:hint="eastAsia" w:ascii="Calibri" w:hAnsi="Calibri" w:eastAsia="仿宋_GB2312" w:cs="Times New Roman"/>
          <w:color w:val="auto"/>
          <w:kern w:val="2"/>
          <w:sz w:val="32"/>
          <w:highlight w:val="none"/>
          <w:u w:val="none"/>
          <w:lang w:val="en-US" w:eastAsia="zh-CN" w:bidi="ar-SA"/>
        </w:rPr>
        <w:t>入库储备</w:t>
      </w:r>
      <w:r>
        <w:rPr>
          <w:rFonts w:hint="eastAsia" w:cs="Times New Roman"/>
          <w:color w:val="auto"/>
          <w:kern w:val="2"/>
          <w:sz w:val="32"/>
          <w:highlight w:val="none"/>
          <w:u w:val="none"/>
          <w:lang w:val="en-US" w:eastAsia="zh-CN" w:bidi="ar-SA"/>
        </w:rPr>
        <w:t>等各项工作</w:t>
      </w:r>
      <w:r>
        <w:rPr>
          <w:rFonts w:hint="eastAsia" w:ascii="Calibri" w:hAnsi="Calibri" w:eastAsia="仿宋_GB2312" w:cs="Times New Roman"/>
          <w:color w:val="auto"/>
          <w:kern w:val="2"/>
          <w:sz w:val="32"/>
          <w:highlight w:val="none"/>
          <w:lang w:eastAsia="zh-CN"/>
        </w:rPr>
        <w:t>，按照“急需、成熟、统筹、集中”的原则，做实做细项目，按照有关要求编入相应的</w:t>
      </w:r>
      <w:r>
        <w:rPr>
          <w:rFonts w:hint="eastAsia" w:ascii="Calibri" w:hAnsi="Calibri" w:eastAsia="仿宋_GB2312" w:cs="Times New Roman"/>
          <w:color w:val="auto"/>
          <w:kern w:val="2"/>
          <w:sz w:val="32"/>
          <w:highlight w:val="none"/>
        </w:rPr>
        <w:t>项目库</w:t>
      </w:r>
      <w:r>
        <w:rPr>
          <w:rFonts w:hint="eastAsia" w:ascii="Calibri" w:hAnsi="Calibri" w:eastAsia="仿宋_GB2312" w:cs="Times New Roman"/>
          <w:color w:val="auto"/>
          <w:kern w:val="2"/>
          <w:sz w:val="32"/>
          <w:highlight w:val="none"/>
          <w:lang w:eastAsia="zh-CN"/>
        </w:rPr>
        <w:t>储备，</w:t>
      </w:r>
      <w:r>
        <w:rPr>
          <w:rFonts w:hint="eastAsia" w:ascii="仿宋_GB2312" w:hAnsi="仿宋_GB2312" w:eastAsia="仿宋_GB2312" w:cs="仿宋_GB2312"/>
          <w:b w:val="0"/>
          <w:bCs w:val="0"/>
          <w:color w:val="auto"/>
          <w:sz w:val="32"/>
          <w:szCs w:val="32"/>
          <w:highlight w:val="none"/>
          <w:u w:val="none" w:color="auto"/>
          <w:lang w:eastAsia="zh-CN"/>
        </w:rPr>
        <w:t>保留省级审批项目权限的资金原则上应在</w:t>
      </w:r>
      <w:r>
        <w:rPr>
          <w:rFonts w:hint="eastAsia" w:ascii="仿宋_GB2312" w:hAnsi="仿宋_GB2312" w:eastAsia="仿宋_GB2312" w:cs="仿宋_GB2312"/>
          <w:b w:val="0"/>
          <w:bCs w:val="0"/>
          <w:color w:val="auto"/>
          <w:sz w:val="32"/>
          <w:szCs w:val="32"/>
          <w:highlight w:val="none"/>
          <w:u w:val="none" w:color="auto"/>
          <w:lang w:val="en-US" w:eastAsia="zh-CN"/>
        </w:rPr>
        <w:t>6月底前完成项目储备，</w:t>
      </w:r>
      <w:r>
        <w:rPr>
          <w:rFonts w:hint="eastAsia" w:ascii="仿宋_GB2312" w:hAnsi="仿宋_GB2312" w:eastAsia="仿宋_GB2312" w:cs="仿宋_GB2312"/>
          <w:color w:val="auto"/>
          <w:sz w:val="32"/>
          <w:szCs w:val="32"/>
          <w:highlight w:val="none"/>
          <w:u w:val="none" w:color="auto"/>
        </w:rPr>
        <w:t>未纳入项目库的项目一律不得安排预算</w:t>
      </w: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lang w:eastAsia="zh-CN"/>
        </w:rPr>
        <w:t>项目</w:t>
      </w:r>
      <w:r>
        <w:rPr>
          <w:rFonts w:hint="eastAsia" w:ascii="仿宋_GB2312" w:hAnsi="仿宋_GB2312" w:eastAsia="仿宋_GB2312" w:cs="仿宋_GB2312"/>
          <w:b w:val="0"/>
          <w:bCs w:val="0"/>
          <w:color w:val="auto"/>
          <w:sz w:val="32"/>
          <w:szCs w:val="32"/>
          <w:highlight w:val="none"/>
          <w:u w:val="none" w:color="auto"/>
          <w:lang w:val="en-US" w:eastAsia="zh-CN"/>
        </w:rPr>
        <w:t>审批权限下放市县的，省</w:t>
      </w:r>
      <w:r>
        <w:rPr>
          <w:rFonts w:hint="eastAsia" w:ascii="仿宋_GB2312" w:hAnsi="仿宋_GB2312" w:cs="仿宋_GB2312"/>
          <w:b w:val="0"/>
          <w:bCs w:val="0"/>
          <w:color w:val="auto"/>
          <w:sz w:val="32"/>
          <w:szCs w:val="32"/>
          <w:highlight w:val="none"/>
          <w:u w:val="none" w:color="auto"/>
          <w:lang w:val="en-US" w:eastAsia="zh-CN"/>
        </w:rPr>
        <w:t>教育厅</w:t>
      </w:r>
      <w:r>
        <w:rPr>
          <w:rFonts w:hint="eastAsia" w:ascii="仿宋_GB2312" w:hAnsi="仿宋_GB2312" w:eastAsia="仿宋_GB2312" w:cs="仿宋_GB2312"/>
          <w:b w:val="0"/>
          <w:bCs w:val="0"/>
          <w:color w:val="auto"/>
          <w:sz w:val="32"/>
          <w:szCs w:val="32"/>
          <w:highlight w:val="none"/>
          <w:u w:val="none" w:color="auto"/>
          <w:lang w:val="en-US" w:eastAsia="zh-CN"/>
        </w:rPr>
        <w:t>应当</w:t>
      </w:r>
      <w:r>
        <w:rPr>
          <w:rFonts w:hint="eastAsia" w:ascii="仿宋_GB2312" w:hAnsi="仿宋_GB2312" w:eastAsia="仿宋_GB2312" w:cs="仿宋_GB2312"/>
          <w:b w:val="0"/>
          <w:bCs w:val="0"/>
          <w:color w:val="auto"/>
          <w:sz w:val="32"/>
          <w:szCs w:val="32"/>
          <w:highlight w:val="none"/>
          <w:u w:val="none" w:color="auto"/>
          <w:lang w:eastAsia="zh-CN"/>
        </w:rPr>
        <w:t>在</w:t>
      </w:r>
      <w:r>
        <w:rPr>
          <w:rFonts w:hint="eastAsia" w:ascii="仿宋_GB2312" w:hAnsi="仿宋_GB2312" w:eastAsia="仿宋_GB2312" w:cs="仿宋_GB2312"/>
          <w:b w:val="0"/>
          <w:bCs w:val="0"/>
          <w:color w:val="auto"/>
          <w:sz w:val="32"/>
          <w:szCs w:val="32"/>
          <w:highlight w:val="none"/>
          <w:u w:val="none" w:color="auto"/>
          <w:lang w:val="en-US" w:eastAsia="zh-CN"/>
        </w:rPr>
        <w:t>6月底前将下一年度延续性政策的绩效目标和考核要求下发各地，指导各地参照省级做法储备项目。</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auto"/>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color="auto"/>
          <w:lang w:eastAsia="zh-CN"/>
        </w:rPr>
      </w:pPr>
      <w:r>
        <w:rPr>
          <w:rFonts w:hint="eastAsia" w:ascii="黑体" w:hAnsi="黑体" w:eastAsia="黑体" w:cs="黑体"/>
          <w:b w:val="0"/>
          <w:bCs w:val="0"/>
          <w:color w:val="auto"/>
          <w:sz w:val="32"/>
          <w:szCs w:val="32"/>
          <w:highlight w:val="none"/>
          <w:u w:val="none" w:color="auto"/>
          <w:lang w:eastAsia="zh-CN"/>
        </w:rPr>
        <w:t>第十一条</w:t>
      </w:r>
      <w:r>
        <w:rPr>
          <w:rFonts w:hint="eastAsia" w:ascii="黑体" w:hAnsi="黑体" w:eastAsia="黑体" w:cs="黑体"/>
          <w:b w:val="0"/>
          <w:bCs w:val="0"/>
          <w:color w:val="auto"/>
          <w:sz w:val="32"/>
          <w:szCs w:val="32"/>
          <w:highlight w:val="none"/>
          <w:u w:val="none" w:color="auto"/>
          <w:lang w:val="en-US" w:eastAsia="zh-CN"/>
        </w:rPr>
        <w:t xml:space="preserve"> </w:t>
      </w:r>
      <w:r>
        <w:rPr>
          <w:rFonts w:hint="eastAsia" w:ascii="仿宋_GB2312" w:hAnsi="仿宋_GB2312" w:eastAsia="仿宋_GB2312" w:cs="仿宋_GB2312"/>
          <w:b w:val="0"/>
          <w:bCs w:val="0"/>
          <w:color w:val="auto"/>
          <w:sz w:val="32"/>
          <w:szCs w:val="32"/>
          <w:highlight w:val="none"/>
          <w:u w:val="none" w:color="auto"/>
          <w:lang w:eastAsia="zh-CN"/>
        </w:rPr>
        <w:t>编入下一年度预算安排的项目必须具备可执行条件，完成项目实施前的各项准备工作，基本建设项目、政务信息化项目必须完成项目立项审批，落实项目建设所必须的土地、环评等各项要素和手续。做到一经纳入预算批复即可支出使用。</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firstLine="640" w:firstLineChars="200"/>
        <w:jc w:val="both"/>
        <w:textAlignment w:val="auto"/>
        <w:rPr>
          <w:rFonts w:hint="eastAsia" w:ascii="仿宋_GB2312" w:hAnsi="仿宋_GB2312" w:cs="仿宋_GB2312"/>
          <w:b w:val="0"/>
          <w:bCs w:val="0"/>
          <w:color w:val="auto"/>
          <w:sz w:val="32"/>
          <w:szCs w:val="32"/>
          <w:highlight w:val="none"/>
          <w:u w:val="none" w:color="auto"/>
          <w:lang w:eastAsia="zh-CN"/>
        </w:rPr>
      </w:pPr>
      <w:r>
        <w:rPr>
          <w:rFonts w:hint="eastAsia" w:ascii="黑体" w:hAnsi="黑体" w:eastAsia="黑体" w:cs="黑体"/>
          <w:color w:val="auto"/>
          <w:kern w:val="2"/>
          <w:sz w:val="32"/>
          <w:szCs w:val="24"/>
          <w:highlight w:val="none"/>
          <w:lang w:val="en-US" w:eastAsia="zh-CN"/>
        </w:rPr>
        <w:t>第十二条</w:t>
      </w:r>
      <w:r>
        <w:rPr>
          <w:rFonts w:hint="eastAsia" w:ascii="Calibri" w:hAnsi="Calibri" w:eastAsia="仿宋_GB2312" w:cs="Times New Roman"/>
          <w:color w:val="auto"/>
          <w:kern w:val="2"/>
          <w:sz w:val="32"/>
          <w:szCs w:val="24"/>
          <w:highlight w:val="none"/>
          <w:lang w:val="en-US" w:eastAsia="zh-CN"/>
        </w:rPr>
        <w:t xml:space="preserve"> </w:t>
      </w:r>
      <w:r>
        <w:rPr>
          <w:rFonts w:hint="eastAsia" w:ascii="仿宋_GB2312" w:hAnsi="仿宋_GB2312" w:eastAsia="仿宋_GB2312" w:cs="仿宋_GB2312"/>
          <w:b w:val="0"/>
          <w:bCs w:val="0"/>
          <w:color w:val="auto"/>
          <w:sz w:val="32"/>
          <w:szCs w:val="32"/>
          <w:highlight w:val="none"/>
          <w:u w:val="none" w:color="auto"/>
          <w:lang w:eastAsia="zh-CN"/>
        </w:rPr>
        <w:t>省</w:t>
      </w:r>
      <w:r>
        <w:rPr>
          <w:rFonts w:hint="eastAsia" w:ascii="仿宋_GB2312" w:hAnsi="仿宋_GB2312" w:cs="仿宋_GB2312"/>
          <w:b w:val="0"/>
          <w:bCs w:val="0"/>
          <w:color w:val="auto"/>
          <w:sz w:val="32"/>
          <w:szCs w:val="32"/>
          <w:highlight w:val="none"/>
          <w:u w:val="none" w:color="auto"/>
          <w:lang w:eastAsia="zh-CN"/>
        </w:rPr>
        <w:t>教育厅</w:t>
      </w:r>
      <w:r>
        <w:rPr>
          <w:rFonts w:hint="eastAsia" w:ascii="仿宋_GB2312" w:hAnsi="仿宋_GB2312" w:eastAsia="仿宋_GB2312" w:cs="仿宋_GB2312"/>
          <w:b w:val="0"/>
          <w:bCs w:val="0"/>
          <w:color w:val="auto"/>
          <w:sz w:val="32"/>
          <w:szCs w:val="32"/>
          <w:highlight w:val="none"/>
          <w:u w:val="none" w:color="auto"/>
          <w:lang w:eastAsia="zh-CN"/>
        </w:rPr>
        <w:t>结合项目储备情况研究提出资金年度预算安排计划。保留省级审批项目权限的资金应当带具体可实施项目申请预算。</w:t>
      </w:r>
      <w:r>
        <w:rPr>
          <w:rFonts w:hint="eastAsia" w:ascii="仿宋_GB2312" w:hAnsi="仿宋_GB2312" w:cs="仿宋_GB2312"/>
          <w:b w:val="0"/>
          <w:bCs w:val="0"/>
          <w:color w:val="auto"/>
          <w:sz w:val="32"/>
          <w:szCs w:val="32"/>
          <w:highlight w:val="none"/>
          <w:u w:val="none" w:color="auto"/>
          <w:lang w:eastAsia="zh-CN"/>
        </w:rPr>
        <w:t>因特殊原因暂无法落实到具体项目的，应制定项目细化工作计划，在预算编制阶段细化至具体可实施的项目。</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firstLine="640" w:firstLineChars="200"/>
        <w:jc w:val="both"/>
        <w:textAlignment w:val="auto"/>
        <w:rPr>
          <w:rFonts w:hint="eastAsia" w:ascii="Calibri" w:hAnsi="Calibri" w:eastAsia="仿宋_GB2312"/>
          <w:color w:val="auto"/>
          <w:sz w:val="32"/>
          <w:szCs w:val="24"/>
          <w:highlight w:val="none"/>
          <w:lang w:val="en-US" w:eastAsia="zh-CN"/>
        </w:rPr>
      </w:pPr>
      <w:r>
        <w:rPr>
          <w:rFonts w:hint="eastAsia" w:ascii="仿宋_GB2312" w:hAnsi="仿宋_GB2312" w:cs="仿宋_GB2312"/>
          <w:b w:val="0"/>
          <w:bCs w:val="0"/>
          <w:color w:val="auto"/>
          <w:sz w:val="32"/>
          <w:szCs w:val="32"/>
          <w:highlight w:val="none"/>
          <w:u w:val="none" w:color="auto"/>
          <w:lang w:eastAsia="zh-CN"/>
        </w:rPr>
        <w:t>保留省级审批项目权限的资金，采用项目法分配。下放市级和县级审批项目权限的资金，采用因素法分配。</w:t>
      </w:r>
      <w:r>
        <w:rPr>
          <w:rFonts w:hint="eastAsia"/>
          <w:color w:val="auto"/>
          <w:sz w:val="32"/>
          <w:szCs w:val="24"/>
          <w:highlight w:val="none"/>
          <w:lang w:val="en-US" w:eastAsia="zh-CN"/>
        </w:rPr>
        <w:t>采用</w:t>
      </w:r>
      <w:r>
        <w:rPr>
          <w:rFonts w:hint="eastAsia" w:ascii="Calibri" w:hAnsi="Calibri" w:eastAsia="仿宋_GB2312"/>
          <w:color w:val="auto"/>
          <w:sz w:val="32"/>
          <w:szCs w:val="24"/>
          <w:highlight w:val="none"/>
          <w:lang w:val="en-US" w:eastAsia="zh-CN"/>
        </w:rPr>
        <w:t>因素法分配</w:t>
      </w:r>
      <w:r>
        <w:rPr>
          <w:rFonts w:hint="eastAsia"/>
          <w:color w:val="auto"/>
          <w:sz w:val="32"/>
          <w:szCs w:val="24"/>
          <w:highlight w:val="none"/>
          <w:lang w:val="en-US" w:eastAsia="zh-CN"/>
        </w:rPr>
        <w:t>时主要考虑如下因素：</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640" w:firstLineChars="200"/>
        <w:textAlignment w:val="auto"/>
        <w:rPr>
          <w:rFonts w:hint="eastAsia" w:ascii="仿宋_GB2312" w:hAnsi="仿宋_GB2312" w:eastAsia="仿宋_GB2312" w:cs="仿宋_GB2312"/>
          <w:color w:val="auto"/>
          <w:sz w:val="32"/>
          <w:szCs w:val="24"/>
          <w:highlight w:val="none"/>
        </w:rPr>
      </w:pPr>
      <w:r>
        <w:rPr>
          <w:rFonts w:hint="eastAsia" w:ascii="仿宋_GB2312" w:hAnsi="仿宋_GB2312" w:eastAsia="仿宋_GB2312" w:cs="仿宋_GB2312"/>
          <w:b w:val="0"/>
          <w:bCs w:val="0"/>
          <w:color w:val="auto"/>
          <w:sz w:val="32"/>
          <w:szCs w:val="24"/>
          <w:highlight w:val="none"/>
          <w:lang w:val="en-US" w:eastAsia="zh-CN"/>
        </w:rPr>
        <w:t>（一）国家“双高计划”省财政支持资金。</w:t>
      </w:r>
      <w:r>
        <w:rPr>
          <w:rFonts w:hint="eastAsia" w:ascii="仿宋_GB2312" w:hAnsi="仿宋_GB2312" w:cs="仿宋_GB2312"/>
          <w:color w:val="auto"/>
          <w:sz w:val="32"/>
          <w:szCs w:val="24"/>
          <w:highlight w:val="none"/>
          <w:lang w:val="en-US" w:eastAsia="zh-CN"/>
        </w:rPr>
        <w:t>对</w:t>
      </w:r>
      <w:r>
        <w:rPr>
          <w:rFonts w:hint="eastAsia" w:ascii="仿宋_GB2312" w:hAnsi="仿宋_GB2312" w:eastAsia="仿宋_GB2312" w:cs="仿宋_GB2312"/>
          <w:color w:val="auto"/>
          <w:sz w:val="32"/>
          <w:szCs w:val="24"/>
          <w:highlight w:val="none"/>
        </w:rPr>
        <w:t>省属高职院校</w:t>
      </w:r>
      <w:r>
        <w:rPr>
          <w:rFonts w:hint="eastAsia" w:ascii="仿宋_GB2312" w:hAnsi="仿宋_GB2312" w:eastAsia="仿宋_GB2312" w:cs="仿宋_GB2312"/>
          <w:color w:val="auto"/>
          <w:sz w:val="32"/>
          <w:szCs w:val="24"/>
          <w:highlight w:val="none"/>
          <w:lang w:eastAsia="zh-CN"/>
        </w:rPr>
        <w:t>，</w:t>
      </w:r>
      <w:r>
        <w:rPr>
          <w:rFonts w:hint="eastAsia" w:ascii="仿宋_GB2312" w:hAnsi="仿宋_GB2312" w:eastAsia="仿宋_GB2312" w:cs="仿宋_GB2312"/>
          <w:color w:val="auto"/>
          <w:sz w:val="32"/>
          <w:szCs w:val="24"/>
          <w:highlight w:val="none"/>
        </w:rPr>
        <w:t>按中央补助额度1:1的比例予以支持</w:t>
      </w:r>
      <w:r>
        <w:rPr>
          <w:rFonts w:hint="eastAsia" w:ascii="仿宋_GB2312" w:hAnsi="仿宋_GB2312" w:eastAsia="仿宋_GB2312" w:cs="仿宋_GB2312"/>
          <w:color w:val="auto"/>
          <w:sz w:val="32"/>
          <w:szCs w:val="24"/>
          <w:highlight w:val="none"/>
          <w:lang w:eastAsia="zh-CN"/>
        </w:rPr>
        <w:t>；</w:t>
      </w:r>
      <w:r>
        <w:rPr>
          <w:rFonts w:hint="eastAsia" w:ascii="仿宋_GB2312" w:hAnsi="仿宋_GB2312" w:eastAsia="仿宋_GB2312" w:cs="仿宋_GB2312"/>
          <w:color w:val="auto"/>
          <w:sz w:val="32"/>
          <w:szCs w:val="24"/>
          <w:highlight w:val="none"/>
        </w:rPr>
        <w:t>对市属（不含深圳）高职院校</w:t>
      </w:r>
      <w:r>
        <w:rPr>
          <w:rFonts w:hint="eastAsia" w:ascii="仿宋_GB2312" w:hAnsi="仿宋_GB2312" w:eastAsia="仿宋_GB2312" w:cs="仿宋_GB2312"/>
          <w:color w:val="auto"/>
          <w:sz w:val="32"/>
          <w:szCs w:val="24"/>
          <w:highlight w:val="none"/>
          <w:lang w:eastAsia="zh-CN"/>
        </w:rPr>
        <w:t>，</w:t>
      </w:r>
      <w:r>
        <w:rPr>
          <w:rFonts w:hint="eastAsia" w:ascii="仿宋_GB2312" w:hAnsi="仿宋_GB2312" w:eastAsia="仿宋_GB2312" w:cs="仿宋_GB2312"/>
          <w:color w:val="auto"/>
          <w:sz w:val="32"/>
          <w:szCs w:val="24"/>
          <w:highlight w:val="none"/>
        </w:rPr>
        <w:t>按中央补助额度的1/6予以支持。</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0" w:firstLineChars="0"/>
        <w:textAlignment w:val="auto"/>
        <w:rPr>
          <w:rFonts w:hint="eastAsia" w:ascii="仿宋_GB2312" w:hAnsi="仿宋_GB2312" w:eastAsia="仿宋_GB2312" w:cs="仿宋_GB2312"/>
          <w:color w:val="auto"/>
          <w:sz w:val="32"/>
          <w:szCs w:val="24"/>
          <w:highlight w:val="none"/>
          <w:lang w:val="en-US" w:eastAsia="zh-CN"/>
        </w:rPr>
      </w:pPr>
      <w:r>
        <w:rPr>
          <w:rFonts w:hint="eastAsia" w:ascii="仿宋_GB2312" w:hAnsi="仿宋_GB2312" w:eastAsia="仿宋_GB2312" w:cs="仿宋_GB2312"/>
          <w:color w:val="auto"/>
          <w:sz w:val="32"/>
          <w:szCs w:val="24"/>
          <w:highlight w:val="none"/>
          <w:lang w:val="en-US" w:eastAsia="zh-CN"/>
        </w:rPr>
        <w:t xml:space="preserve">   </w:t>
      </w:r>
      <w:r>
        <w:rPr>
          <w:rFonts w:hint="eastAsia" w:ascii="仿宋_GB2312" w:hAnsi="仿宋_GB2312" w:eastAsia="仿宋_GB2312" w:cs="仿宋_GB2312"/>
          <w:b w:val="0"/>
          <w:bCs w:val="0"/>
          <w:color w:val="auto"/>
          <w:sz w:val="32"/>
          <w:szCs w:val="24"/>
          <w:highlight w:val="none"/>
          <w:lang w:val="en-US" w:eastAsia="zh-CN"/>
        </w:rPr>
        <w:t xml:space="preserve"> （二）高等职业教育“创新强校工程”奖补资金。</w:t>
      </w:r>
      <w:r>
        <w:rPr>
          <w:rFonts w:hint="eastAsia" w:ascii="仿宋_GB2312" w:hAnsi="仿宋_GB2312" w:eastAsia="仿宋_GB2312" w:cs="仿宋_GB2312"/>
          <w:color w:val="auto"/>
          <w:sz w:val="32"/>
          <w:szCs w:val="24"/>
          <w:highlight w:val="none"/>
          <w:lang w:eastAsia="zh-CN"/>
        </w:rPr>
        <w:t>因素包括：年度高职教育“创新强校工程”考核得分、学校隶属关系、</w:t>
      </w:r>
      <w:r>
        <w:rPr>
          <w:rFonts w:hint="eastAsia" w:ascii="仿宋_GB2312" w:hAnsi="仿宋_GB2312" w:cs="仿宋_GB2312"/>
          <w:color w:val="auto"/>
          <w:sz w:val="32"/>
          <w:szCs w:val="24"/>
          <w:highlight w:val="none"/>
          <w:u w:val="none"/>
          <w:lang w:eastAsia="zh-CN"/>
        </w:rPr>
        <w:t>学校办学水平</w:t>
      </w:r>
      <w:r>
        <w:rPr>
          <w:rFonts w:hint="eastAsia" w:ascii="仿宋_GB2312" w:hAnsi="仿宋_GB2312" w:eastAsia="仿宋_GB2312" w:cs="仿宋_GB2312"/>
          <w:color w:val="auto"/>
          <w:sz w:val="32"/>
          <w:szCs w:val="24"/>
          <w:highlight w:val="none"/>
          <w:u w:val="none"/>
          <w:lang w:eastAsia="zh-CN"/>
        </w:rPr>
        <w:t>、</w:t>
      </w:r>
      <w:r>
        <w:rPr>
          <w:rFonts w:hint="eastAsia" w:ascii="仿宋_GB2312" w:hAnsi="仿宋_GB2312" w:eastAsia="仿宋_GB2312" w:cs="仿宋_GB2312"/>
          <w:color w:val="auto"/>
          <w:sz w:val="32"/>
          <w:szCs w:val="24"/>
          <w:highlight w:val="none"/>
          <w:lang w:eastAsia="zh-CN"/>
        </w:rPr>
        <w:t>资金支出进度、</w:t>
      </w:r>
      <w:r>
        <w:rPr>
          <w:rFonts w:hint="eastAsia" w:ascii="仿宋_GB2312" w:hAnsi="仿宋_GB2312" w:cs="仿宋_GB2312"/>
          <w:color w:val="auto"/>
          <w:sz w:val="32"/>
          <w:szCs w:val="24"/>
          <w:highlight w:val="none"/>
          <w:u w:val="none"/>
          <w:lang w:eastAsia="zh-CN"/>
        </w:rPr>
        <w:t>办学条件达标、项目储备情况、</w:t>
      </w:r>
      <w:r>
        <w:rPr>
          <w:rFonts w:hint="eastAsia" w:ascii="仿宋_GB2312" w:hAnsi="仿宋_GB2312" w:eastAsia="仿宋_GB2312" w:cs="仿宋_GB2312"/>
          <w:color w:val="auto"/>
          <w:sz w:val="32"/>
          <w:szCs w:val="24"/>
          <w:highlight w:val="none"/>
          <w:lang w:eastAsia="zh-CN"/>
        </w:rPr>
        <w:t>当年重点工作任务推进情况等。</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640" w:firstLineChars="200"/>
        <w:textAlignment w:val="auto"/>
        <w:rPr>
          <w:rFonts w:hint="eastAsia" w:ascii="Calibri" w:hAnsi="Calibri" w:eastAsia="仿宋_GB2312"/>
          <w:color w:val="auto"/>
          <w:sz w:val="32"/>
          <w:szCs w:val="24"/>
          <w:highlight w:val="none"/>
          <w:lang w:eastAsia="zh-CN"/>
        </w:rPr>
      </w:pPr>
      <w:r>
        <w:rPr>
          <w:rFonts w:hint="eastAsia" w:ascii="仿宋_GB2312" w:hAnsi="仿宋_GB2312" w:eastAsia="仿宋_GB2312" w:cs="仿宋_GB2312"/>
          <w:b w:val="0"/>
          <w:bCs w:val="0"/>
          <w:color w:val="auto"/>
          <w:sz w:val="32"/>
          <w:szCs w:val="24"/>
          <w:highlight w:val="none"/>
          <w:lang w:val="en-US" w:eastAsia="zh-CN"/>
        </w:rPr>
        <w:t>（三）经济欠发达地市中职学校发展奖补资金。</w:t>
      </w:r>
      <w:r>
        <w:rPr>
          <w:rFonts w:hint="eastAsia" w:ascii="仿宋_GB2312" w:hAnsi="仿宋_GB2312" w:eastAsia="仿宋_GB2312" w:cs="仿宋_GB2312"/>
          <w:color w:val="auto"/>
          <w:sz w:val="32"/>
          <w:szCs w:val="24"/>
          <w:highlight w:val="none"/>
          <w:lang w:val="en-US" w:eastAsia="zh-CN"/>
        </w:rPr>
        <w:t>因素包括</w:t>
      </w:r>
      <w:r>
        <w:rPr>
          <w:rFonts w:hint="eastAsia" w:ascii="Calibri" w:hAnsi="Calibri" w:eastAsia="仿宋_GB2312"/>
          <w:color w:val="auto"/>
          <w:sz w:val="32"/>
          <w:szCs w:val="24"/>
          <w:highlight w:val="none"/>
          <w:lang w:val="en-US" w:eastAsia="zh-CN"/>
        </w:rPr>
        <w:t>：</w:t>
      </w:r>
      <w:r>
        <w:rPr>
          <w:rFonts w:hint="eastAsia" w:ascii="Calibri" w:hAnsi="Calibri" w:eastAsia="仿宋_GB2312"/>
          <w:color w:val="auto"/>
          <w:sz w:val="32"/>
          <w:szCs w:val="24"/>
          <w:highlight w:val="none"/>
        </w:rPr>
        <w:t>办学成效</w:t>
      </w:r>
      <w:r>
        <w:rPr>
          <w:rFonts w:hint="eastAsia" w:ascii="Calibri" w:hAnsi="Calibri" w:eastAsia="仿宋_GB2312"/>
          <w:color w:val="auto"/>
          <w:sz w:val="32"/>
          <w:szCs w:val="24"/>
          <w:highlight w:val="none"/>
          <w:lang w:eastAsia="zh-CN"/>
        </w:rPr>
        <w:t>、</w:t>
      </w:r>
      <w:r>
        <w:rPr>
          <w:rFonts w:hint="eastAsia" w:ascii="Calibri" w:hAnsi="Calibri" w:eastAsia="仿宋_GB2312"/>
          <w:color w:val="auto"/>
          <w:sz w:val="32"/>
          <w:szCs w:val="24"/>
          <w:highlight w:val="none"/>
        </w:rPr>
        <w:t>资金支出进度</w:t>
      </w:r>
      <w:r>
        <w:rPr>
          <w:rFonts w:hint="eastAsia" w:ascii="Calibri" w:hAnsi="Calibri" w:eastAsia="仿宋_GB2312"/>
          <w:color w:val="auto"/>
          <w:sz w:val="32"/>
          <w:szCs w:val="24"/>
          <w:highlight w:val="none"/>
          <w:lang w:eastAsia="zh-CN"/>
        </w:rPr>
        <w:t>、</w:t>
      </w:r>
      <w:r>
        <w:rPr>
          <w:rFonts w:hint="eastAsia" w:ascii="Calibri" w:hAnsi="Calibri" w:eastAsia="仿宋_GB2312"/>
          <w:color w:val="auto"/>
          <w:sz w:val="32"/>
          <w:szCs w:val="24"/>
          <w:highlight w:val="none"/>
        </w:rPr>
        <w:t>本地区人均财力</w:t>
      </w:r>
      <w:r>
        <w:rPr>
          <w:rFonts w:hint="eastAsia" w:ascii="Calibri" w:hAnsi="Calibri" w:eastAsia="仿宋_GB2312"/>
          <w:color w:val="auto"/>
          <w:sz w:val="32"/>
          <w:szCs w:val="24"/>
          <w:highlight w:val="none"/>
          <w:lang w:eastAsia="zh-CN"/>
        </w:rPr>
        <w:t>、当年</w:t>
      </w:r>
      <w:r>
        <w:rPr>
          <w:rFonts w:hint="eastAsia" w:ascii="Calibri" w:hAnsi="Calibri" w:eastAsia="仿宋_GB2312"/>
          <w:color w:val="auto"/>
          <w:sz w:val="32"/>
          <w:szCs w:val="24"/>
          <w:highlight w:val="none"/>
        </w:rPr>
        <w:t>重点工作推进</w:t>
      </w:r>
      <w:r>
        <w:rPr>
          <w:rFonts w:hint="eastAsia" w:ascii="Calibri" w:hAnsi="Calibri" w:eastAsia="仿宋_GB2312"/>
          <w:color w:val="auto"/>
          <w:sz w:val="32"/>
          <w:szCs w:val="24"/>
          <w:highlight w:val="none"/>
          <w:lang w:eastAsia="zh-CN"/>
        </w:rPr>
        <w:t>情况等。</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640" w:firstLineChars="200"/>
        <w:textAlignment w:val="auto"/>
        <w:rPr>
          <w:rFonts w:hint="eastAsia" w:ascii="Calibri" w:hAnsi="Calibri" w:eastAsia="仿宋_GB2312"/>
          <w:color w:val="auto"/>
          <w:sz w:val="32"/>
          <w:szCs w:val="24"/>
          <w:highlight w:val="none"/>
          <w:lang w:eastAsia="zh-CN"/>
        </w:rPr>
      </w:pPr>
      <w:r>
        <w:rPr>
          <w:rFonts w:hint="eastAsia" w:ascii="仿宋_GB2312" w:hAnsi="仿宋_GB2312" w:eastAsia="仿宋_GB2312" w:cs="仿宋_GB2312"/>
          <w:b w:val="0"/>
          <w:bCs w:val="0"/>
          <w:color w:val="auto"/>
          <w:sz w:val="32"/>
          <w:szCs w:val="24"/>
          <w:highlight w:val="none"/>
          <w:lang w:val="en-US" w:eastAsia="zh-CN"/>
        </w:rPr>
        <w:t>（四）省属职业院校集团办学奖补资金。</w:t>
      </w:r>
      <w:r>
        <w:rPr>
          <w:rFonts w:hint="eastAsia" w:ascii="仿宋_GB2312" w:hAnsi="仿宋_GB2312" w:eastAsia="仿宋_GB2312" w:cs="仿宋_GB2312"/>
          <w:color w:val="auto"/>
          <w:sz w:val="32"/>
          <w:szCs w:val="24"/>
          <w:highlight w:val="none"/>
          <w:lang w:eastAsia="zh-CN"/>
        </w:rPr>
        <w:t>因素包括</w:t>
      </w:r>
      <w:r>
        <w:rPr>
          <w:rFonts w:hint="eastAsia" w:ascii="Calibri" w:hAnsi="Calibri" w:eastAsia="仿宋_GB2312"/>
          <w:color w:val="auto"/>
          <w:sz w:val="32"/>
          <w:szCs w:val="24"/>
          <w:highlight w:val="none"/>
          <w:lang w:eastAsia="zh-CN"/>
        </w:rPr>
        <w:t>：校园改造项目需求和成熟程度、集团办学工作进展情况等。</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640" w:firstLineChars="200"/>
        <w:jc w:val="left"/>
        <w:textAlignment w:val="auto"/>
        <w:outlineLvl w:val="9"/>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黑体" w:hAnsi="黑体" w:eastAsia="黑体" w:cs="黑体"/>
          <w:color w:val="auto"/>
          <w:sz w:val="32"/>
          <w:szCs w:val="24"/>
          <w:highlight w:val="none"/>
          <w:lang w:eastAsia="zh-CN"/>
        </w:rPr>
        <w:t>第十三条</w:t>
      </w:r>
      <w:r>
        <w:rPr>
          <w:rFonts w:hint="eastAsia" w:ascii="黑体" w:hAnsi="黑体" w:eastAsia="黑体" w:cs="黑体"/>
          <w:color w:val="auto"/>
          <w:sz w:val="32"/>
          <w:szCs w:val="24"/>
          <w:highlight w:val="none"/>
          <w:lang w:val="en-US" w:eastAsia="zh-CN"/>
        </w:rPr>
        <w:t xml:space="preserve"> </w:t>
      </w:r>
      <w:r>
        <w:rPr>
          <w:rFonts w:hint="eastAsia" w:ascii="仿宋_GB2312" w:hAnsi="仿宋_GB2312" w:eastAsia="仿宋_GB2312" w:cs="仿宋_GB2312"/>
          <w:b w:val="0"/>
          <w:bCs w:val="0"/>
          <w:color w:val="auto"/>
          <w:sz w:val="32"/>
          <w:szCs w:val="32"/>
          <w:highlight w:val="none"/>
          <w:u w:val="none" w:color="auto"/>
          <w:lang w:val="en-US" w:eastAsia="zh-CN"/>
        </w:rPr>
        <w:t>资金绩效目标应与政策依据、业务范围、支出内容相匹配，绩效指标应涵盖设置业务相关的个性化产出指标和效益指标，应全面合理、可衡量、可考核，体现省委省政府工作要求。任务清单应与绩效目标对应，反映可量化、可执行、可检验的工作任务目标，明确完成时间和效果，与资金政策和额度相匹配，不得脱离实际。</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afterAutospacing="0" w:line="360" w:lineRule="auto"/>
        <w:ind w:left="0" w:leftChars="0" w:firstLine="640" w:firstLineChars="200"/>
        <w:textAlignment w:val="auto"/>
        <w:rPr>
          <w:rFonts w:hint="eastAsia" w:ascii="黑体" w:hAnsi="黑体" w:eastAsia="黑体" w:cs="黑体"/>
          <w:color w:val="auto"/>
          <w:kern w:val="2"/>
          <w:sz w:val="32"/>
          <w:szCs w:val="24"/>
          <w:highlight w:val="none"/>
          <w:u w:val="none"/>
          <w:lang w:val="en-US" w:eastAsia="zh-CN"/>
        </w:rPr>
      </w:pPr>
      <w:r>
        <w:rPr>
          <w:rFonts w:hint="eastAsia" w:ascii="黑体" w:hAnsi="黑体" w:eastAsia="黑体" w:cs="黑体"/>
          <w:color w:val="auto"/>
          <w:sz w:val="32"/>
          <w:szCs w:val="24"/>
          <w:highlight w:val="none"/>
          <w:lang w:eastAsia="zh-CN"/>
        </w:rPr>
        <w:t>第十四条</w:t>
      </w:r>
      <w:r>
        <w:rPr>
          <w:rFonts w:hint="eastAsia" w:ascii="Calibri" w:hAnsi="Calibri" w:eastAsia="仿宋_GB2312"/>
          <w:color w:val="auto"/>
          <w:sz w:val="32"/>
          <w:szCs w:val="24"/>
          <w:highlight w:val="none"/>
          <w:lang w:val="en-US" w:eastAsia="zh-CN"/>
        </w:rPr>
        <w:t xml:space="preserve"> 资金分配方案（含提前下达部分）应按照“三重一大”要求，经省教育厅党组会议或办公会议集体审议后，在公示前报分管省领导审批，资金分配下达、公示、呈报省领导等工作应当在预算编制阶段完成。</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afterAutospacing="0" w:line="360" w:lineRule="auto"/>
        <w:ind w:left="0" w:leftChars="0" w:firstLine="640" w:firstLineChars="200"/>
        <w:textAlignment w:val="auto"/>
        <w:rPr>
          <w:rFonts w:hint="eastAsia" w:ascii="Calibri" w:hAnsi="Calibri" w:eastAsia="仿宋_GB2312" w:cs="Times New Roman"/>
          <w:color w:val="auto"/>
          <w:kern w:val="2"/>
          <w:sz w:val="32"/>
          <w:highlight w:val="none"/>
          <w:u w:val="none"/>
          <w:lang w:val="en-US" w:eastAsia="zh-CN"/>
        </w:rPr>
      </w:pPr>
      <w:r>
        <w:rPr>
          <w:rFonts w:hint="eastAsia" w:ascii="黑体" w:hAnsi="黑体" w:eastAsia="黑体" w:cs="黑体"/>
          <w:color w:val="auto"/>
          <w:kern w:val="2"/>
          <w:sz w:val="32"/>
          <w:szCs w:val="24"/>
          <w:highlight w:val="none"/>
          <w:u w:val="none"/>
          <w:lang w:val="en-US" w:eastAsia="zh-CN"/>
        </w:rPr>
        <w:t>第十五条</w:t>
      </w:r>
      <w:r>
        <w:rPr>
          <w:rFonts w:hint="eastAsia" w:cs="Times New Roman"/>
          <w:color w:val="auto"/>
          <w:kern w:val="2"/>
          <w:sz w:val="32"/>
          <w:szCs w:val="24"/>
          <w:highlight w:val="none"/>
          <w:u w:val="none"/>
          <w:lang w:val="en-US" w:eastAsia="zh-CN"/>
        </w:rPr>
        <w:t xml:space="preserve"> </w:t>
      </w:r>
      <w:r>
        <w:rPr>
          <w:rFonts w:hint="eastAsia" w:ascii="Calibri" w:hAnsi="Calibri" w:eastAsia="仿宋_GB2312" w:cs="Times New Roman"/>
          <w:color w:val="auto"/>
          <w:kern w:val="2"/>
          <w:sz w:val="32"/>
          <w:highlight w:val="none"/>
          <w:u w:val="none"/>
          <w:lang w:val="en-US" w:eastAsia="zh-CN"/>
        </w:rPr>
        <w:t>“</w:t>
      </w:r>
      <w:r>
        <w:rPr>
          <w:rFonts w:hint="eastAsia" w:ascii="Calibri" w:hAnsi="Calibri" w:cs="Times New Roman"/>
          <w:color w:val="auto"/>
          <w:kern w:val="2"/>
          <w:sz w:val="32"/>
          <w:highlight w:val="none"/>
          <w:u w:val="none"/>
          <w:lang w:val="en-US" w:eastAsia="zh-CN"/>
        </w:rPr>
        <w:t>扩提</w:t>
      </w:r>
      <w:r>
        <w:rPr>
          <w:rFonts w:hint="eastAsia" w:ascii="Calibri" w:hAnsi="Calibri" w:eastAsia="仿宋_GB2312" w:cs="Times New Roman"/>
          <w:color w:val="auto"/>
          <w:kern w:val="2"/>
          <w:sz w:val="32"/>
          <w:highlight w:val="none"/>
          <w:u w:val="none"/>
          <w:lang w:val="en-US" w:eastAsia="zh-CN"/>
        </w:rPr>
        <w:t>强”资金中可按规定计提一定额度的工作经费</w:t>
      </w:r>
      <w:r>
        <w:rPr>
          <w:rFonts w:hint="eastAsia" w:cs="Times New Roman"/>
          <w:color w:val="auto"/>
          <w:kern w:val="2"/>
          <w:sz w:val="32"/>
          <w:highlight w:val="none"/>
          <w:u w:val="none"/>
          <w:lang w:val="en-US" w:eastAsia="zh-CN"/>
        </w:rPr>
        <w:t>，工作经费</w:t>
      </w:r>
      <w:r>
        <w:rPr>
          <w:rFonts w:hint="eastAsia" w:ascii="Calibri" w:hAnsi="Calibri" w:eastAsia="仿宋_GB2312" w:cs="Times New Roman"/>
          <w:color w:val="auto"/>
          <w:kern w:val="2"/>
          <w:sz w:val="32"/>
          <w:highlight w:val="none"/>
          <w:u w:val="none"/>
          <w:lang w:val="en-US" w:eastAsia="zh-CN"/>
        </w:rPr>
        <w:t>计提总量不得超过“</w:t>
      </w:r>
      <w:r>
        <w:rPr>
          <w:rFonts w:hint="eastAsia" w:ascii="Calibri" w:hAnsi="Calibri" w:cs="Times New Roman"/>
          <w:color w:val="auto"/>
          <w:kern w:val="2"/>
          <w:sz w:val="32"/>
          <w:highlight w:val="none"/>
          <w:u w:val="none"/>
          <w:lang w:val="en-US" w:eastAsia="zh-CN"/>
        </w:rPr>
        <w:t>扩提</w:t>
      </w:r>
      <w:r>
        <w:rPr>
          <w:rFonts w:hint="eastAsia" w:ascii="Calibri" w:hAnsi="Calibri" w:eastAsia="仿宋_GB2312" w:cs="Times New Roman"/>
          <w:color w:val="auto"/>
          <w:kern w:val="2"/>
          <w:sz w:val="32"/>
          <w:highlight w:val="none"/>
          <w:u w:val="none"/>
          <w:lang w:val="en-US" w:eastAsia="zh-CN"/>
        </w:rPr>
        <w:t>强”资金总</w:t>
      </w:r>
      <w:r>
        <w:rPr>
          <w:rFonts w:hint="eastAsia" w:ascii="仿宋_GB2312" w:hAnsi="仿宋_GB2312" w:eastAsia="仿宋_GB2312" w:cs="仿宋_GB2312"/>
          <w:color w:val="auto"/>
          <w:kern w:val="2"/>
          <w:sz w:val="32"/>
          <w:highlight w:val="none"/>
          <w:u w:val="none"/>
          <w:lang w:val="en-US" w:eastAsia="zh-CN"/>
        </w:rPr>
        <w:t>额的</w:t>
      </w:r>
      <w:r>
        <w:rPr>
          <w:rFonts w:hint="eastAsia" w:ascii="仿宋_GB2312" w:hAnsi="仿宋_GB2312" w:cs="仿宋_GB2312"/>
          <w:color w:val="auto"/>
          <w:kern w:val="2"/>
          <w:sz w:val="32"/>
          <w:highlight w:val="none"/>
          <w:u w:val="none"/>
          <w:lang w:val="en-US" w:eastAsia="zh-CN"/>
        </w:rPr>
        <w:t>2</w:t>
      </w:r>
      <w:r>
        <w:rPr>
          <w:rFonts w:hint="eastAsia" w:ascii="仿宋_GB2312" w:hAnsi="仿宋_GB2312" w:eastAsia="仿宋_GB2312" w:cs="仿宋_GB2312"/>
          <w:color w:val="auto"/>
          <w:kern w:val="2"/>
          <w:sz w:val="32"/>
          <w:highlight w:val="none"/>
          <w:u w:val="none"/>
          <w:lang w:val="en-US" w:eastAsia="zh-CN"/>
        </w:rPr>
        <w:t>%</w:t>
      </w:r>
      <w:r>
        <w:rPr>
          <w:rFonts w:hint="eastAsia" w:ascii="仿宋_GB2312" w:hAnsi="仿宋_GB2312" w:cs="仿宋_GB2312"/>
          <w:color w:val="auto"/>
          <w:kern w:val="2"/>
          <w:sz w:val="32"/>
          <w:highlight w:val="none"/>
          <w:u w:val="none"/>
          <w:lang w:val="en-US" w:eastAsia="zh-CN"/>
        </w:rPr>
        <w:t>,其中省级工作经费计提总量不超过1.5%，地市工作经费计提总量不超过0.5%。</w:t>
      </w:r>
      <w:r>
        <w:rPr>
          <w:rFonts w:hint="eastAsia" w:ascii="Calibri" w:hAnsi="Calibri" w:eastAsia="仿宋_GB2312" w:cs="Times New Roman"/>
          <w:color w:val="auto"/>
          <w:kern w:val="2"/>
          <w:sz w:val="32"/>
          <w:highlight w:val="none"/>
          <w:u w:val="none"/>
          <w:lang w:val="en-US" w:eastAsia="zh-CN"/>
        </w:rPr>
        <w:t>工作经费由省教育厅一并纳入预算细化编制、明确下达。</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afterAutospacing="0" w:line="360" w:lineRule="auto"/>
        <w:ind w:left="0" w:leftChars="0" w:firstLine="640" w:firstLineChars="200"/>
        <w:textAlignment w:val="auto"/>
        <w:rPr>
          <w:rFonts w:hint="eastAsia" w:ascii="Calibri" w:hAnsi="Calibri" w:eastAsia="仿宋_GB2312" w:cs="Times New Roman"/>
          <w:color w:val="auto"/>
          <w:kern w:val="2"/>
          <w:sz w:val="32"/>
          <w:highlight w:val="none"/>
          <w:u w:val="none"/>
          <w:lang w:val="en-US" w:eastAsia="zh-CN"/>
        </w:rPr>
      </w:pPr>
      <w:r>
        <w:rPr>
          <w:rFonts w:hint="eastAsia" w:ascii="黑体" w:hAnsi="黑体" w:eastAsia="黑体" w:cs="黑体"/>
          <w:color w:val="auto"/>
          <w:kern w:val="2"/>
          <w:sz w:val="32"/>
          <w:szCs w:val="24"/>
          <w:highlight w:val="none"/>
          <w:u w:val="none"/>
          <w:lang w:val="en-US" w:eastAsia="zh-CN"/>
        </w:rPr>
        <w:t>第十六条</w:t>
      </w:r>
      <w:r>
        <w:rPr>
          <w:rFonts w:hint="eastAsia" w:cs="Times New Roman"/>
          <w:color w:val="auto"/>
          <w:kern w:val="2"/>
          <w:sz w:val="32"/>
          <w:szCs w:val="24"/>
          <w:highlight w:val="none"/>
          <w:u w:val="none"/>
          <w:lang w:val="en-US" w:eastAsia="zh-CN"/>
        </w:rPr>
        <w:t xml:space="preserve"> </w:t>
      </w:r>
      <w:r>
        <w:rPr>
          <w:rFonts w:hint="eastAsia" w:ascii="Calibri" w:hAnsi="Calibri" w:eastAsia="仿宋_GB2312" w:cs="Times New Roman"/>
          <w:color w:val="auto"/>
          <w:kern w:val="2"/>
          <w:sz w:val="32"/>
          <w:highlight w:val="none"/>
          <w:u w:val="none"/>
        </w:rPr>
        <w:t>工作经费</w:t>
      </w:r>
      <w:r>
        <w:rPr>
          <w:rFonts w:hint="eastAsia" w:cs="Times New Roman"/>
          <w:color w:val="auto"/>
          <w:kern w:val="2"/>
          <w:sz w:val="32"/>
          <w:highlight w:val="none"/>
          <w:u w:val="none"/>
          <w:lang w:eastAsia="zh-CN"/>
        </w:rPr>
        <w:t>主要用于与项目开展有关的职业教育与终身教育工作，要优</w:t>
      </w:r>
      <w:r>
        <w:rPr>
          <w:rFonts w:hint="eastAsia" w:cs="Times New Roman"/>
          <w:color w:val="auto"/>
          <w:kern w:val="2"/>
          <w:sz w:val="32"/>
          <w:highlight w:val="none"/>
          <w:lang w:eastAsia="zh-CN"/>
        </w:rPr>
        <w:t>先保障项目</w:t>
      </w:r>
      <w:r>
        <w:rPr>
          <w:rFonts w:hint="eastAsia" w:ascii="Calibri" w:hAnsi="Calibri" w:eastAsia="仿宋_GB2312" w:cs="Times New Roman"/>
          <w:color w:val="auto"/>
          <w:kern w:val="2"/>
          <w:sz w:val="32"/>
          <w:highlight w:val="none"/>
        </w:rPr>
        <w:t>实施开展</w:t>
      </w:r>
      <w:r>
        <w:rPr>
          <w:rFonts w:hint="eastAsia" w:cs="Times New Roman"/>
          <w:color w:val="auto"/>
          <w:kern w:val="2"/>
          <w:sz w:val="32"/>
          <w:highlight w:val="none"/>
          <w:lang w:eastAsia="zh-CN"/>
        </w:rPr>
        <w:t>的前期论证、入库评审、项目验收、</w:t>
      </w:r>
      <w:r>
        <w:rPr>
          <w:rFonts w:hint="eastAsia" w:ascii="Calibri" w:hAnsi="Calibri" w:cs="Times New Roman"/>
          <w:color w:val="auto"/>
          <w:kern w:val="2"/>
          <w:sz w:val="32"/>
          <w:highlight w:val="none"/>
          <w:lang w:eastAsia="zh-CN"/>
        </w:rPr>
        <w:t>宣传</w:t>
      </w:r>
      <w:r>
        <w:rPr>
          <w:rFonts w:hint="eastAsia" w:ascii="Calibri" w:hAnsi="Calibri" w:eastAsia="仿宋_GB2312" w:cs="Times New Roman"/>
          <w:color w:val="auto"/>
          <w:kern w:val="2"/>
          <w:sz w:val="32"/>
          <w:highlight w:val="none"/>
        </w:rPr>
        <w:t>、</w:t>
      </w:r>
      <w:r>
        <w:rPr>
          <w:rFonts w:hint="eastAsia" w:ascii="Calibri" w:hAnsi="Calibri" w:eastAsia="仿宋_GB2312" w:cs="Times New Roman"/>
          <w:color w:val="auto"/>
          <w:sz w:val="32"/>
          <w:szCs w:val="24"/>
          <w:highlight w:val="none"/>
        </w:rPr>
        <w:t>监督检查、</w:t>
      </w:r>
      <w:r>
        <w:rPr>
          <w:rFonts w:hint="eastAsia" w:cs="Times New Roman"/>
          <w:color w:val="auto"/>
          <w:sz w:val="32"/>
          <w:szCs w:val="24"/>
          <w:highlight w:val="none"/>
          <w:lang w:eastAsia="zh-CN"/>
        </w:rPr>
        <w:t>内部审计、</w:t>
      </w:r>
      <w:r>
        <w:rPr>
          <w:rFonts w:hint="eastAsia" w:ascii="Calibri" w:hAnsi="Calibri" w:eastAsia="仿宋_GB2312" w:cs="Times New Roman"/>
          <w:color w:val="auto"/>
          <w:sz w:val="32"/>
          <w:szCs w:val="24"/>
          <w:highlight w:val="none"/>
        </w:rPr>
        <w:t>绩效</w:t>
      </w:r>
      <w:r>
        <w:rPr>
          <w:rFonts w:hint="eastAsia" w:cs="Times New Roman"/>
          <w:color w:val="auto"/>
          <w:sz w:val="32"/>
          <w:szCs w:val="24"/>
          <w:highlight w:val="none"/>
          <w:lang w:eastAsia="zh-CN"/>
        </w:rPr>
        <w:t>管理</w:t>
      </w:r>
      <w:r>
        <w:rPr>
          <w:rFonts w:hint="eastAsia" w:ascii="Calibri" w:hAnsi="Calibri" w:eastAsia="仿宋_GB2312" w:cs="Times New Roman"/>
          <w:color w:val="auto"/>
          <w:kern w:val="2"/>
          <w:sz w:val="32"/>
          <w:highlight w:val="none"/>
        </w:rPr>
        <w:t>等工作</w:t>
      </w:r>
      <w:r>
        <w:rPr>
          <w:rFonts w:hint="eastAsia" w:ascii="Calibri" w:hAnsi="Calibri" w:eastAsia="仿宋_GB2312" w:cs="Times New Roman"/>
          <w:color w:val="auto"/>
          <w:kern w:val="2"/>
          <w:sz w:val="32"/>
          <w:highlight w:val="none"/>
          <w:lang w:eastAsia="zh-CN"/>
        </w:rPr>
        <w:t>。</w:t>
      </w:r>
      <w:r>
        <w:rPr>
          <w:rFonts w:hint="eastAsia" w:ascii="Calibri" w:eastAsia="仿宋_GB2312" w:cs="Times New Roman"/>
          <w:color w:val="auto"/>
          <w:sz w:val="32"/>
          <w:szCs w:val="24"/>
          <w:highlight w:val="none"/>
          <w:lang w:val="en-US" w:eastAsia="zh-CN" w:bidi="ar-SA"/>
        </w:rPr>
        <w:t>不得将工作经费用于编内人员工资、津贴补贴、奖金和其他福利支出，楼堂馆所建设、修缮和其他无关支出。</w:t>
      </w:r>
    </w:p>
    <w:p>
      <w:pPr>
        <w:keepNext w:val="0"/>
        <w:keepLines w:val="0"/>
        <w:pageBreakBefore w:val="0"/>
        <w:widowControl w:val="0"/>
        <w:kinsoku/>
        <w:wordWrap/>
        <w:overflowPunct/>
        <w:topLinePunct w:val="0"/>
        <w:autoSpaceDE/>
        <w:autoSpaceDN/>
        <w:bidi w:val="0"/>
        <w:adjustRightInd w:val="0"/>
        <w:snapToGrid w:val="0"/>
        <w:spacing w:beforeLines="0" w:after="0" w:afterLines="0" w:afterAutospacing="0" w:line="360" w:lineRule="auto"/>
        <w:ind w:left="0" w:leftChars="0" w:firstLine="640" w:firstLineChars="200"/>
        <w:textAlignment w:val="auto"/>
        <w:outlineLvl w:val="9"/>
        <w:rPr>
          <w:rFonts w:hint="eastAsia" w:ascii="Calibri" w:eastAsia="仿宋_GB2312" w:cs="Times New Roman"/>
          <w:color w:val="auto"/>
          <w:highlight w:val="none"/>
          <w:u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0" w:firstLineChars="0"/>
        <w:jc w:val="center"/>
        <w:textAlignment w:val="auto"/>
        <w:rPr>
          <w:rFonts w:hint="eastAsia" w:ascii="Calibri" w:hAnsi="Calibri" w:eastAsia="仿宋_GB2312"/>
          <w:color w:val="auto"/>
          <w:sz w:val="32"/>
          <w:szCs w:val="24"/>
          <w:highlight w:val="none"/>
        </w:rPr>
      </w:pPr>
      <w:r>
        <w:rPr>
          <w:rFonts w:hint="eastAsia" w:ascii="黑体" w:hAnsi="黑体" w:eastAsia="黑体" w:cs="黑体"/>
          <w:color w:val="auto"/>
          <w:sz w:val="32"/>
          <w:szCs w:val="24"/>
          <w:highlight w:val="none"/>
        </w:rPr>
        <w:t>第</w:t>
      </w:r>
      <w:r>
        <w:rPr>
          <w:rFonts w:hint="eastAsia" w:ascii="黑体" w:hAnsi="黑体" w:eastAsia="黑体" w:cs="黑体"/>
          <w:color w:val="auto"/>
          <w:sz w:val="32"/>
          <w:szCs w:val="24"/>
          <w:highlight w:val="none"/>
          <w:lang w:eastAsia="zh-CN"/>
        </w:rPr>
        <w:t>四</w:t>
      </w:r>
      <w:r>
        <w:rPr>
          <w:rFonts w:hint="eastAsia" w:ascii="黑体" w:hAnsi="黑体" w:eastAsia="黑体" w:cs="黑体"/>
          <w:color w:val="auto"/>
          <w:sz w:val="32"/>
          <w:szCs w:val="24"/>
          <w:highlight w:val="none"/>
        </w:rPr>
        <w:t>章</w:t>
      </w:r>
      <w:r>
        <w:rPr>
          <w:rFonts w:hint="eastAsia" w:ascii="黑体" w:hAnsi="黑体" w:eastAsia="黑体" w:cs="黑体"/>
          <w:color w:val="auto"/>
          <w:sz w:val="32"/>
          <w:szCs w:val="24"/>
          <w:highlight w:val="none"/>
          <w:lang w:val="en-US" w:eastAsia="zh-CN"/>
        </w:rPr>
        <w:t xml:space="preserve">  </w:t>
      </w:r>
      <w:r>
        <w:rPr>
          <w:rFonts w:hint="eastAsia" w:ascii="黑体" w:hAnsi="黑体" w:eastAsia="黑体" w:cs="黑体"/>
          <w:color w:val="auto"/>
          <w:sz w:val="32"/>
          <w:szCs w:val="24"/>
          <w:highlight w:val="none"/>
        </w:rPr>
        <w:t>资金</w:t>
      </w:r>
      <w:r>
        <w:rPr>
          <w:rFonts w:hint="eastAsia" w:ascii="黑体" w:hAnsi="黑体" w:eastAsia="黑体" w:cs="黑体"/>
          <w:color w:val="auto"/>
          <w:sz w:val="32"/>
          <w:szCs w:val="24"/>
          <w:highlight w:val="none"/>
          <w:lang w:val="en-US" w:eastAsia="zh-CN"/>
        </w:rPr>
        <w:t>执行及</w:t>
      </w:r>
      <w:r>
        <w:rPr>
          <w:rFonts w:hint="eastAsia" w:ascii="黑体" w:hAnsi="黑体" w:eastAsia="黑体" w:cs="黑体"/>
          <w:color w:val="auto"/>
          <w:sz w:val="32"/>
          <w:szCs w:val="24"/>
          <w:highlight w:val="none"/>
        </w:rPr>
        <w:t>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360" w:lineRule="auto"/>
        <w:ind w:firstLine="640" w:firstLineChars="200"/>
        <w:textAlignment w:val="auto"/>
        <w:rPr>
          <w:rFonts w:hint="eastAsia" w:ascii="仿宋_GB2312" w:hAnsi="仿宋_GB2312" w:eastAsia="仿宋_GB2312" w:cs="仿宋_GB2312"/>
          <w:color w:val="auto"/>
          <w:kern w:val="2"/>
          <w:sz w:val="32"/>
          <w:highlight w:val="none"/>
          <w:lang w:eastAsia="zh-CN"/>
        </w:rPr>
      </w:pPr>
      <w:r>
        <w:rPr>
          <w:rFonts w:hint="eastAsia" w:ascii="黑体" w:hAnsi="黑体" w:eastAsia="黑体" w:cs="黑体"/>
          <w:color w:val="auto"/>
          <w:sz w:val="32"/>
          <w:szCs w:val="24"/>
          <w:highlight w:val="none"/>
          <w:lang w:val="en-US" w:eastAsia="zh-CN"/>
        </w:rPr>
        <w:t xml:space="preserve"> </w:t>
      </w:r>
      <w:r>
        <w:rPr>
          <w:rFonts w:hint="eastAsia" w:ascii="黑体" w:hAnsi="黑体" w:eastAsia="黑体" w:cs="黑体"/>
          <w:color w:val="auto"/>
          <w:sz w:val="32"/>
          <w:szCs w:val="24"/>
          <w:highlight w:val="none"/>
          <w:lang w:eastAsia="zh-CN"/>
        </w:rPr>
        <w:t>第十七条</w:t>
      </w:r>
      <w:r>
        <w:rPr>
          <w:rFonts w:hint="eastAsia" w:ascii="Calibri" w:hAnsi="Calibri" w:eastAsia="仿宋_GB2312" w:cs="Times New Roman"/>
          <w:color w:val="auto"/>
          <w:sz w:val="32"/>
          <w:szCs w:val="24"/>
          <w:highlight w:val="none"/>
          <w:lang w:val="en-US" w:eastAsia="zh-CN"/>
        </w:rPr>
        <w:t xml:space="preserve"> </w:t>
      </w:r>
      <w:r>
        <w:rPr>
          <w:rFonts w:hint="eastAsia" w:ascii="仿宋_GB2312" w:hAnsi="仿宋_GB2312" w:eastAsia="仿宋_GB2312" w:cs="仿宋_GB2312"/>
          <w:b w:val="0"/>
          <w:bCs w:val="0"/>
          <w:color w:val="auto"/>
          <w:sz w:val="32"/>
          <w:szCs w:val="32"/>
          <w:highlight w:val="none"/>
          <w:u w:val="none" w:color="auto"/>
          <w:lang w:eastAsia="zh-CN"/>
        </w:rPr>
        <w:t>年度预算批复后，预算编制阶段未提前下达的资金，应</w:t>
      </w:r>
      <w:r>
        <w:rPr>
          <w:rFonts w:hint="eastAsia" w:ascii="仿宋_GB2312" w:hAnsi="仿宋_GB2312" w:eastAsia="仿宋_GB2312" w:cs="仿宋_GB2312"/>
          <w:b w:val="0"/>
          <w:bCs w:val="0"/>
          <w:color w:val="auto"/>
          <w:sz w:val="32"/>
          <w:szCs w:val="32"/>
          <w:highlight w:val="none"/>
          <w:u w:val="none" w:color="auto"/>
          <w:lang w:val="en-US" w:eastAsia="zh-CN"/>
        </w:rPr>
        <w:t>严格按照预算法规定时限办理资金分配下达。</w:t>
      </w:r>
      <w:r>
        <w:rPr>
          <w:rFonts w:hint="eastAsia" w:ascii="仿宋_GB2312" w:hAnsi="仿宋_GB2312" w:eastAsia="仿宋_GB2312" w:cs="仿宋_GB2312"/>
          <w:color w:val="auto"/>
          <w:kern w:val="2"/>
          <w:sz w:val="32"/>
          <w:highlight w:val="none"/>
          <w:lang w:eastAsia="zh-CN"/>
        </w:rPr>
        <w:t>省教育厅</w:t>
      </w:r>
      <w:r>
        <w:rPr>
          <w:rFonts w:hint="eastAsia" w:ascii="仿宋_GB2312" w:hAnsi="仿宋_GB2312" w:eastAsia="仿宋_GB2312" w:cs="仿宋_GB2312"/>
          <w:color w:val="auto"/>
          <w:kern w:val="2"/>
          <w:sz w:val="32"/>
          <w:highlight w:val="none"/>
        </w:rPr>
        <w:t>按</w:t>
      </w:r>
      <w:r>
        <w:rPr>
          <w:rFonts w:hint="eastAsia" w:ascii="仿宋_GB2312" w:hAnsi="仿宋_GB2312" w:cs="仿宋_GB2312"/>
          <w:color w:val="auto"/>
          <w:kern w:val="2"/>
          <w:sz w:val="32"/>
          <w:highlight w:val="none"/>
          <w:lang w:eastAsia="zh-CN"/>
        </w:rPr>
        <w:t>程序</w:t>
      </w:r>
      <w:r>
        <w:rPr>
          <w:rFonts w:hint="eastAsia" w:ascii="仿宋_GB2312" w:hAnsi="仿宋_GB2312" w:eastAsia="仿宋_GB2312" w:cs="仿宋_GB2312"/>
          <w:color w:val="auto"/>
          <w:kern w:val="2"/>
          <w:sz w:val="32"/>
          <w:highlight w:val="none"/>
        </w:rPr>
        <w:t>公示无异议后，应在预算法规定下达时限7日前报送省财政厅，并同步在预算管理系统中提交资金分配二级项目、绩效目标及经济分类等数据信息。省财政厅在收到分配方案7日内发文下达</w:t>
      </w:r>
      <w:r>
        <w:rPr>
          <w:rFonts w:hint="eastAsia" w:ascii="仿宋_GB2312" w:hAnsi="仿宋_GB2312" w:cs="仿宋_GB2312"/>
          <w:color w:val="auto"/>
          <w:kern w:val="2"/>
          <w:sz w:val="32"/>
          <w:highlight w:val="none"/>
          <w:lang w:eastAsia="zh-CN"/>
        </w:rPr>
        <w:t>资金</w:t>
      </w:r>
      <w:r>
        <w:rPr>
          <w:rFonts w:hint="eastAsia" w:ascii="仿宋_GB2312" w:hAnsi="仿宋_GB2312" w:eastAsia="仿宋_GB2312" w:cs="仿宋_GB2312"/>
          <w:color w:val="auto"/>
          <w:kern w:val="2"/>
          <w:sz w:val="32"/>
          <w:highlight w:val="none"/>
        </w:rPr>
        <w:t>，同步下达绩效目标</w:t>
      </w:r>
      <w:r>
        <w:rPr>
          <w:rFonts w:hint="eastAsia" w:ascii="仿宋_GB2312" w:hAnsi="仿宋_GB2312" w:eastAsia="仿宋_GB2312" w:cs="仿宋_GB2312"/>
          <w:color w:val="auto"/>
          <w:kern w:val="2"/>
          <w:sz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lef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u w:val="none"/>
          <w:lang w:val="en-US" w:eastAsia="zh-CN"/>
        </w:rPr>
        <w:t>对于9月底前仍未分配下达的资金且无正当理由的</w:t>
      </w:r>
      <w:r>
        <w:rPr>
          <w:rFonts w:hint="eastAsia" w:ascii="仿宋_GB2312" w:hAnsi="仿宋_GB2312" w:eastAsia="仿宋_GB2312" w:cs="仿宋_GB2312"/>
          <w:color w:val="auto"/>
          <w:sz w:val="32"/>
          <w:szCs w:val="32"/>
          <w:highlight w:val="none"/>
          <w:lang w:val="en-US" w:eastAsia="zh-CN"/>
        </w:rPr>
        <w:t>，由省财政按规定将资金收回统筹。</w:t>
      </w:r>
    </w:p>
    <w:p>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val="0"/>
        <w:snapToGrid w:val="0"/>
        <w:spacing w:beforeLines="0" w:afterLines="0" w:line="360" w:lineRule="auto"/>
        <w:ind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val="0"/>
          <w:bCs w:val="0"/>
          <w:color w:val="auto"/>
          <w:sz w:val="32"/>
          <w:szCs w:val="32"/>
          <w:highlight w:val="none"/>
          <w:u w:val="none" w:color="auto"/>
          <w:lang w:val="en-US" w:eastAsia="zh-CN"/>
        </w:rPr>
        <w:t>下放市</w:t>
      </w:r>
      <w:r>
        <w:rPr>
          <w:rFonts w:hint="eastAsia" w:ascii="仿宋_GB2312" w:hAnsi="仿宋_GB2312" w:cs="仿宋_GB2312"/>
          <w:b w:val="0"/>
          <w:bCs w:val="0"/>
          <w:color w:val="auto"/>
          <w:sz w:val="32"/>
          <w:szCs w:val="32"/>
          <w:highlight w:val="none"/>
          <w:u w:val="none" w:color="auto"/>
          <w:lang w:val="en-US" w:eastAsia="zh-CN"/>
        </w:rPr>
        <w:t>级</w:t>
      </w:r>
      <w:r>
        <w:rPr>
          <w:rFonts w:hint="eastAsia" w:ascii="仿宋_GB2312" w:hAnsi="仿宋_GB2312" w:eastAsia="仿宋_GB2312" w:cs="仿宋_GB2312"/>
          <w:b w:val="0"/>
          <w:bCs w:val="0"/>
          <w:color w:val="auto"/>
          <w:sz w:val="32"/>
          <w:szCs w:val="32"/>
          <w:highlight w:val="none"/>
          <w:u w:val="none" w:color="auto"/>
          <w:lang w:val="en-US" w:eastAsia="zh-CN"/>
        </w:rPr>
        <w:t>审批项目权限的资金，市</w:t>
      </w:r>
      <w:r>
        <w:rPr>
          <w:rFonts w:hint="eastAsia" w:ascii="仿宋_GB2312" w:hAnsi="仿宋_GB2312" w:cs="仿宋_GB2312"/>
          <w:b w:val="0"/>
          <w:bCs w:val="0"/>
          <w:color w:val="auto"/>
          <w:sz w:val="32"/>
          <w:szCs w:val="32"/>
          <w:highlight w:val="none"/>
          <w:u w:val="none" w:color="auto"/>
          <w:lang w:val="en-US" w:eastAsia="zh-CN"/>
        </w:rPr>
        <w:t>级教育</w:t>
      </w:r>
      <w:r>
        <w:rPr>
          <w:rFonts w:hint="eastAsia" w:ascii="仿宋_GB2312" w:hAnsi="仿宋_GB2312" w:eastAsia="仿宋_GB2312" w:cs="仿宋_GB2312"/>
          <w:b w:val="0"/>
          <w:bCs w:val="0"/>
          <w:color w:val="auto"/>
          <w:sz w:val="32"/>
          <w:szCs w:val="32"/>
          <w:highlight w:val="none"/>
          <w:u w:val="none" w:color="auto"/>
          <w:lang w:val="en-US" w:eastAsia="zh-CN"/>
        </w:rPr>
        <w:t>部门应在预算法规定下达时限7日前制订资金分配方案，报</w:t>
      </w:r>
      <w:r>
        <w:rPr>
          <w:rFonts w:hint="eastAsia" w:ascii="仿宋_GB2312" w:hAnsi="仿宋_GB2312" w:cs="仿宋_GB2312"/>
          <w:b w:val="0"/>
          <w:bCs w:val="0"/>
          <w:color w:val="auto"/>
          <w:sz w:val="32"/>
          <w:szCs w:val="32"/>
          <w:highlight w:val="none"/>
          <w:u w:val="none" w:color="auto"/>
          <w:lang w:val="en-US" w:eastAsia="zh-CN"/>
        </w:rPr>
        <w:t>省教育厅</w:t>
      </w:r>
      <w:r>
        <w:rPr>
          <w:rFonts w:hint="eastAsia" w:ascii="仿宋_GB2312" w:hAnsi="仿宋_GB2312" w:eastAsia="仿宋_GB2312" w:cs="仿宋_GB2312"/>
          <w:b w:val="0"/>
          <w:bCs w:val="0"/>
          <w:color w:val="auto"/>
          <w:sz w:val="32"/>
          <w:szCs w:val="32"/>
          <w:highlight w:val="none"/>
          <w:u w:val="none" w:color="auto"/>
          <w:lang w:val="en-US" w:eastAsia="zh-CN"/>
        </w:rPr>
        <w:t>备案</w:t>
      </w:r>
      <w:r>
        <w:rPr>
          <w:rFonts w:hint="eastAsia" w:ascii="仿宋_GB2312" w:hAnsi="仿宋_GB2312" w:cs="仿宋_GB2312"/>
          <w:b w:val="0"/>
          <w:bCs w:val="0"/>
          <w:color w:val="auto"/>
          <w:sz w:val="32"/>
          <w:szCs w:val="32"/>
          <w:highlight w:val="none"/>
          <w:u w:val="none" w:color="auto"/>
          <w:lang w:val="en-US" w:eastAsia="zh-CN"/>
        </w:rPr>
        <w:t>并抄送省财政厅</w:t>
      </w:r>
      <w:r>
        <w:rPr>
          <w:rFonts w:hint="eastAsia" w:ascii="仿宋_GB2312" w:hAnsi="仿宋_GB2312" w:eastAsia="仿宋_GB2312" w:cs="仿宋_GB2312"/>
          <w:b w:val="0"/>
          <w:bCs w:val="0"/>
          <w:color w:val="auto"/>
          <w:sz w:val="32"/>
          <w:szCs w:val="32"/>
          <w:highlight w:val="none"/>
          <w:u w:val="none" w:color="auto"/>
          <w:lang w:val="en-US" w:eastAsia="zh-CN"/>
        </w:rPr>
        <w:t>；财政部门应按预算法规定时限办理资金分配下达。</w:t>
      </w:r>
      <w:r>
        <w:rPr>
          <w:rFonts w:hint="eastAsia" w:ascii="仿宋_GB2312" w:hAnsi="仿宋_GB2312" w:cs="仿宋_GB2312"/>
          <w:b w:val="0"/>
          <w:bCs w:val="0"/>
          <w:color w:val="auto"/>
          <w:sz w:val="32"/>
          <w:szCs w:val="32"/>
          <w:highlight w:val="none"/>
          <w:u w:val="none" w:color="auto"/>
          <w:lang w:val="en-US" w:eastAsia="zh-CN"/>
        </w:rPr>
        <w:t>下放</w:t>
      </w:r>
      <w:r>
        <w:rPr>
          <w:rFonts w:hint="eastAsia" w:ascii="仿宋_GB2312" w:hAnsi="仿宋_GB2312" w:eastAsia="仿宋_GB2312" w:cs="仿宋_GB2312"/>
          <w:b w:val="0"/>
          <w:bCs w:val="0"/>
          <w:color w:val="auto"/>
          <w:sz w:val="32"/>
          <w:szCs w:val="32"/>
          <w:highlight w:val="none"/>
          <w:u w:val="none" w:color="auto"/>
          <w:lang w:val="en-US" w:eastAsia="zh-CN"/>
        </w:rPr>
        <w:t>县级审批</w:t>
      </w:r>
      <w:r>
        <w:rPr>
          <w:rFonts w:hint="eastAsia" w:ascii="仿宋_GB2312" w:hAnsi="仿宋_GB2312" w:cs="仿宋_GB2312"/>
          <w:b w:val="0"/>
          <w:bCs w:val="0"/>
          <w:color w:val="auto"/>
          <w:sz w:val="32"/>
          <w:szCs w:val="32"/>
          <w:highlight w:val="none"/>
          <w:u w:val="none" w:color="auto"/>
          <w:lang w:val="en-US" w:eastAsia="zh-CN"/>
        </w:rPr>
        <w:t>项目</w:t>
      </w:r>
      <w:r>
        <w:rPr>
          <w:rFonts w:hint="eastAsia" w:ascii="仿宋_GB2312" w:hAnsi="仿宋_GB2312" w:eastAsia="仿宋_GB2312" w:cs="仿宋_GB2312"/>
          <w:b w:val="0"/>
          <w:bCs w:val="0"/>
          <w:color w:val="auto"/>
          <w:sz w:val="32"/>
          <w:szCs w:val="32"/>
          <w:highlight w:val="none"/>
          <w:u w:val="none" w:color="auto"/>
          <w:lang w:val="en-US" w:eastAsia="zh-CN"/>
        </w:rPr>
        <w:t>权限的</w:t>
      </w:r>
      <w:r>
        <w:rPr>
          <w:rFonts w:hint="eastAsia" w:ascii="仿宋_GB2312" w:hAnsi="仿宋_GB2312" w:cs="仿宋_GB2312"/>
          <w:b w:val="0"/>
          <w:bCs w:val="0"/>
          <w:color w:val="auto"/>
          <w:sz w:val="32"/>
          <w:szCs w:val="32"/>
          <w:highlight w:val="none"/>
          <w:u w:val="none" w:color="auto"/>
          <w:lang w:val="en-US" w:eastAsia="zh-CN"/>
        </w:rPr>
        <w:t>资金</w:t>
      </w:r>
      <w:r>
        <w:rPr>
          <w:rFonts w:hint="eastAsia" w:ascii="仿宋_GB2312" w:hAnsi="仿宋_GB2312" w:eastAsia="仿宋_GB2312" w:cs="仿宋_GB2312"/>
          <w:b w:val="0"/>
          <w:bCs w:val="0"/>
          <w:color w:val="auto"/>
          <w:sz w:val="32"/>
          <w:szCs w:val="32"/>
          <w:highlight w:val="none"/>
          <w:u w:val="none" w:color="auto"/>
          <w:lang w:val="en-US" w:eastAsia="zh-CN"/>
        </w:rPr>
        <w:t>，应由省级直接分配下达县（市）。</w:t>
      </w:r>
    </w:p>
    <w:p>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val="0"/>
        <w:snapToGrid w:val="0"/>
        <w:spacing w:beforeLines="0" w:afterLines="0" w:line="360" w:lineRule="auto"/>
        <w:ind w:firstLine="640" w:firstLineChars="200"/>
        <w:jc w:val="both"/>
        <w:textAlignment w:val="auto"/>
        <w:outlineLvl w:val="9"/>
        <w:rPr>
          <w:rFonts w:hint="eastAsia" w:ascii="仿宋_GB2312" w:hAnsi="仿宋_GB2312" w:eastAsia="仿宋_GB2312" w:cs="仿宋_GB2312"/>
          <w:b w:val="0"/>
          <w:bCs w:val="0"/>
          <w:color w:val="auto"/>
          <w:sz w:val="32"/>
          <w:szCs w:val="24"/>
          <w:highlight w:val="none"/>
          <w:u w:val="none" w:color="auto"/>
          <w:lang w:val="en-US" w:eastAsia="zh-CN"/>
        </w:rPr>
      </w:pPr>
      <w:r>
        <w:rPr>
          <w:rFonts w:hint="eastAsia" w:ascii="黑体" w:hAnsi="黑体" w:eastAsia="黑体" w:cs="黑体"/>
          <w:b w:val="0"/>
          <w:bCs w:val="0"/>
          <w:color w:val="auto"/>
          <w:sz w:val="32"/>
          <w:szCs w:val="24"/>
          <w:highlight w:val="none"/>
          <w:u w:val="none" w:color="auto"/>
          <w:lang w:val="en-US" w:eastAsia="zh-CN"/>
        </w:rPr>
        <w:t>第十八条</w:t>
      </w:r>
      <w:r>
        <w:rPr>
          <w:rFonts w:hint="eastAsia" w:ascii="仿宋_GB2312" w:hAnsi="仿宋_GB2312" w:cs="仿宋_GB2312"/>
          <w:b w:val="0"/>
          <w:bCs w:val="0"/>
          <w:color w:val="auto"/>
          <w:sz w:val="32"/>
          <w:szCs w:val="24"/>
          <w:highlight w:val="none"/>
          <w:u w:val="none" w:color="auto"/>
          <w:lang w:val="en-US" w:eastAsia="zh-CN"/>
        </w:rPr>
        <w:t xml:space="preserve"> </w:t>
      </w:r>
      <w:r>
        <w:rPr>
          <w:rFonts w:hint="eastAsia" w:ascii="仿宋_GB2312" w:hAnsi="仿宋_GB2312" w:eastAsia="仿宋_GB2312" w:cs="仿宋_GB2312"/>
          <w:b w:val="0"/>
          <w:bCs w:val="0"/>
          <w:color w:val="auto"/>
          <w:sz w:val="32"/>
          <w:szCs w:val="24"/>
          <w:highlight w:val="none"/>
          <w:u w:val="none" w:color="auto"/>
          <w:lang w:val="en-US" w:eastAsia="zh-CN"/>
        </w:rPr>
        <w:t>下放项目审批权限的资金，</w:t>
      </w:r>
      <w:r>
        <w:rPr>
          <w:rFonts w:hint="eastAsia" w:ascii="仿宋_GB2312" w:hAnsi="仿宋_GB2312" w:cs="仿宋_GB2312"/>
          <w:b w:val="0"/>
          <w:bCs w:val="0"/>
          <w:color w:val="auto"/>
          <w:sz w:val="32"/>
          <w:szCs w:val="24"/>
          <w:highlight w:val="none"/>
          <w:u w:val="none" w:color="auto"/>
          <w:lang w:val="en-US" w:eastAsia="zh-CN"/>
        </w:rPr>
        <w:t>省教育厅</w:t>
      </w:r>
      <w:r>
        <w:rPr>
          <w:rFonts w:hint="eastAsia" w:ascii="仿宋_GB2312" w:hAnsi="仿宋_GB2312" w:eastAsia="仿宋_GB2312" w:cs="仿宋_GB2312"/>
          <w:b w:val="0"/>
          <w:bCs w:val="0"/>
          <w:color w:val="auto"/>
          <w:sz w:val="32"/>
          <w:szCs w:val="24"/>
          <w:highlight w:val="none"/>
          <w:u w:val="none" w:color="auto"/>
          <w:lang w:val="en-US" w:eastAsia="zh-CN"/>
        </w:rPr>
        <w:t>原则上应在资金下达（含提前下达）时同步下达任务清单，最迟不得晚于资金下达（含提前下达）后15日内。</w:t>
      </w:r>
      <w:r>
        <w:rPr>
          <w:rFonts w:hint="eastAsia" w:ascii="仿宋_GB2312" w:hAnsi="仿宋_GB2312" w:cs="仿宋_GB2312"/>
          <w:b w:val="0"/>
          <w:bCs w:val="0"/>
          <w:color w:val="auto"/>
          <w:sz w:val="32"/>
          <w:szCs w:val="24"/>
          <w:highlight w:val="none"/>
          <w:u w:val="none" w:color="auto"/>
          <w:lang w:val="en-US" w:eastAsia="zh-CN"/>
        </w:rPr>
        <w:t>省教育厅</w:t>
      </w:r>
      <w:r>
        <w:rPr>
          <w:rFonts w:hint="eastAsia" w:ascii="仿宋_GB2312" w:hAnsi="仿宋_GB2312" w:eastAsia="仿宋_GB2312" w:cs="仿宋_GB2312"/>
          <w:b w:val="0"/>
          <w:bCs w:val="0"/>
          <w:color w:val="auto"/>
          <w:sz w:val="32"/>
          <w:szCs w:val="24"/>
          <w:highlight w:val="none"/>
          <w:u w:val="none" w:color="auto"/>
          <w:lang w:val="en-US" w:eastAsia="zh-CN"/>
        </w:rPr>
        <w:t>不得在制定任务清单、接受备案等过程中指定具体项目及金额。</w:t>
      </w:r>
    </w:p>
    <w:p>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val="0"/>
        <w:snapToGrid w:val="0"/>
        <w:spacing w:beforeLines="0" w:afterLines="0" w:line="360" w:lineRule="auto"/>
        <w:ind w:firstLine="640" w:firstLineChars="200"/>
        <w:jc w:val="both"/>
        <w:textAlignment w:val="auto"/>
        <w:outlineLvl w:val="9"/>
        <w:rPr>
          <w:rFonts w:hint="eastAsia" w:ascii="仿宋_GB2312" w:hAnsi="仿宋_GB2312" w:eastAsia="仿宋_GB2312" w:cs="仿宋_GB2312"/>
          <w:b w:val="0"/>
          <w:bCs w:val="0"/>
          <w:color w:val="auto"/>
          <w:sz w:val="32"/>
          <w:szCs w:val="24"/>
          <w:u w:val="none"/>
          <w:lang w:val="en-US" w:eastAsia="zh-CN"/>
        </w:rPr>
      </w:pPr>
      <w:r>
        <w:rPr>
          <w:rFonts w:hint="eastAsia" w:ascii="仿宋_GB2312" w:hAnsi="仿宋_GB2312" w:eastAsia="仿宋_GB2312" w:cs="仿宋_GB2312"/>
          <w:b w:val="0"/>
          <w:bCs w:val="0"/>
          <w:color w:val="auto"/>
          <w:sz w:val="32"/>
          <w:szCs w:val="24"/>
          <w:u w:val="none"/>
          <w:lang w:val="en-US" w:eastAsia="zh-CN"/>
        </w:rPr>
        <w:t>市县在完成省级下达的任务清单前提下，可在同一“财政事权”内统筹使用剩余资金，并将统筹使用情况报省</w:t>
      </w:r>
      <w:r>
        <w:rPr>
          <w:rFonts w:hint="eastAsia" w:ascii="仿宋_GB2312" w:hAnsi="仿宋_GB2312" w:cs="仿宋_GB2312"/>
          <w:b w:val="0"/>
          <w:bCs w:val="0"/>
          <w:color w:val="auto"/>
          <w:sz w:val="32"/>
          <w:szCs w:val="24"/>
          <w:u w:val="none"/>
          <w:lang w:val="en-US" w:eastAsia="zh-CN"/>
        </w:rPr>
        <w:t>教育厅</w:t>
      </w:r>
      <w:r>
        <w:rPr>
          <w:rFonts w:hint="eastAsia" w:ascii="仿宋_GB2312" w:hAnsi="仿宋_GB2312" w:eastAsia="仿宋_GB2312" w:cs="仿宋_GB2312"/>
          <w:b w:val="0"/>
          <w:bCs w:val="0"/>
          <w:color w:val="auto"/>
          <w:sz w:val="32"/>
          <w:szCs w:val="24"/>
          <w:u w:val="none"/>
          <w:lang w:val="en-US" w:eastAsia="zh-CN"/>
        </w:rPr>
        <w:t>备案。</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0" w:leftChars="0" w:firstLine="640" w:firstLineChars="200"/>
        <w:textAlignment w:val="auto"/>
        <w:outlineLvl w:val="9"/>
        <w:rPr>
          <w:rFonts w:hint="default" w:ascii="Calibri" w:hAnsi="Calibri" w:eastAsia="仿宋_GB2312" w:cs="Times New Roman"/>
          <w:b w:val="0"/>
          <w:bCs w:val="0"/>
          <w:color w:val="auto"/>
          <w:sz w:val="32"/>
          <w:szCs w:val="24"/>
          <w:highlight w:val="none"/>
          <w:u w:val="none" w:color="auto"/>
          <w:lang w:val="en-US" w:eastAsia="zh-CN"/>
        </w:rPr>
      </w:pPr>
      <w:r>
        <w:rPr>
          <w:rFonts w:hint="eastAsia" w:ascii="黑体" w:hAnsi="黑体" w:eastAsia="黑体" w:cs="黑体"/>
          <w:b w:val="0"/>
          <w:bCs w:val="0"/>
          <w:color w:val="auto"/>
          <w:sz w:val="32"/>
          <w:szCs w:val="32"/>
          <w:highlight w:val="none"/>
          <w:u w:val="none" w:color="auto"/>
          <w:lang w:val="en-US" w:eastAsia="zh-CN"/>
        </w:rPr>
        <w:t>第十九条</w:t>
      </w:r>
      <w:r>
        <w:rPr>
          <w:rFonts w:hint="eastAsia" w:ascii="仿宋_GB2312" w:hAnsi="仿宋_GB2312" w:cs="仿宋_GB2312"/>
          <w:b w:val="0"/>
          <w:bCs w:val="0"/>
          <w:color w:val="auto"/>
          <w:sz w:val="32"/>
          <w:szCs w:val="32"/>
          <w:highlight w:val="none"/>
          <w:u w:val="none" w:color="auto"/>
          <w:lang w:val="en-US" w:eastAsia="zh-CN"/>
        </w:rPr>
        <w:t xml:space="preserve"> </w:t>
      </w:r>
      <w:r>
        <w:rPr>
          <w:rFonts w:hint="eastAsia" w:ascii="仿宋_GB2312" w:hAnsi="仿宋_GB2312" w:eastAsia="仿宋_GB2312" w:cs="仿宋_GB2312"/>
          <w:b w:val="0"/>
          <w:bCs w:val="0"/>
          <w:color w:val="auto"/>
          <w:sz w:val="32"/>
          <w:szCs w:val="32"/>
          <w:highlight w:val="none"/>
          <w:u w:val="none" w:color="auto"/>
          <w:lang w:val="en-US" w:eastAsia="zh-CN"/>
        </w:rPr>
        <w:t>年度预算批复和资金下达后，各级财政部门应及时拨付资</w:t>
      </w:r>
      <w:r>
        <w:rPr>
          <w:rFonts w:hint="eastAsia" w:ascii="Calibri" w:hAnsi="Calibri" w:eastAsia="仿宋_GB2312" w:cs="Times New Roman"/>
          <w:b w:val="0"/>
          <w:bCs w:val="0"/>
          <w:color w:val="auto"/>
          <w:sz w:val="32"/>
          <w:szCs w:val="24"/>
          <w:highlight w:val="none"/>
          <w:u w:val="none" w:color="auto"/>
          <w:lang w:val="en-US" w:eastAsia="zh-CN"/>
        </w:rPr>
        <w:t>金，保障资金到位，并对资金支出进度进行监控。各级</w:t>
      </w:r>
      <w:r>
        <w:rPr>
          <w:rFonts w:hint="eastAsia" w:ascii="Calibri" w:hAnsi="Calibri" w:cs="Times New Roman"/>
          <w:b w:val="0"/>
          <w:bCs w:val="0"/>
          <w:color w:val="auto"/>
          <w:sz w:val="32"/>
          <w:szCs w:val="24"/>
          <w:highlight w:val="none"/>
          <w:u w:val="none" w:color="auto"/>
          <w:lang w:val="en-US" w:eastAsia="zh-CN"/>
        </w:rPr>
        <w:t>教育主管</w:t>
      </w:r>
      <w:r>
        <w:rPr>
          <w:rFonts w:hint="eastAsia" w:ascii="Calibri" w:hAnsi="Calibri" w:eastAsia="仿宋_GB2312" w:cs="Times New Roman"/>
          <w:b w:val="0"/>
          <w:bCs w:val="0"/>
          <w:color w:val="auto"/>
          <w:sz w:val="32"/>
          <w:szCs w:val="24"/>
          <w:highlight w:val="none"/>
          <w:u w:val="none" w:color="auto"/>
          <w:lang w:val="en-US" w:eastAsia="zh-CN"/>
        </w:rPr>
        <w:t>部门应对照支出计划每月研究资金预算执行，加强对资金支出通报和督促，提高资金使用效益。项目实施单位应加快项</w:t>
      </w:r>
      <w:r>
        <w:rPr>
          <w:rFonts w:hint="default" w:ascii="Calibri" w:hAnsi="Calibri" w:eastAsia="仿宋_GB2312" w:cs="Times New Roman"/>
          <w:b w:val="0"/>
          <w:bCs w:val="0"/>
          <w:color w:val="auto"/>
          <w:sz w:val="32"/>
          <w:szCs w:val="24"/>
          <w:highlight w:val="none"/>
          <w:u w:val="none" w:color="auto"/>
          <w:lang w:val="en-US" w:eastAsia="zh-CN"/>
        </w:rPr>
        <w:t>目组织实施，严格按照规定的开支范围支出。</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0" w:afterLines="0" w:line="360" w:lineRule="auto"/>
        <w:ind w:firstLine="640" w:firstLineChars="200"/>
        <w:jc w:val="both"/>
        <w:textAlignment w:val="auto"/>
        <w:outlineLvl w:val="9"/>
        <w:rPr>
          <w:rFonts w:hint="eastAsia" w:ascii="仿宋_GB2312" w:hAnsi="仿宋_GB2312" w:eastAsia="仿宋_GB2312" w:cs="仿宋_GB2312"/>
          <w:b w:val="0"/>
          <w:bCs w:val="0"/>
          <w:color w:val="auto"/>
          <w:sz w:val="32"/>
          <w:szCs w:val="24"/>
          <w:u w:val="none"/>
          <w:lang w:val="en-US" w:eastAsia="zh-CN"/>
        </w:rPr>
      </w:pPr>
      <w:r>
        <w:rPr>
          <w:rFonts w:hint="eastAsia" w:ascii="黑体" w:hAnsi="黑体" w:eastAsia="黑体" w:cs="黑体"/>
          <w:b w:val="0"/>
          <w:bCs w:val="0"/>
          <w:color w:val="auto"/>
          <w:sz w:val="32"/>
          <w:szCs w:val="24"/>
          <w:u w:val="none"/>
          <w:lang w:val="en-US" w:eastAsia="zh-CN"/>
        </w:rPr>
        <w:t xml:space="preserve">第二十条 </w:t>
      </w:r>
      <w:r>
        <w:rPr>
          <w:rFonts w:hint="eastAsia" w:cs="Times New Roman"/>
          <w:color w:val="auto"/>
          <w:kern w:val="0"/>
          <w:sz w:val="32"/>
          <w:szCs w:val="32"/>
          <w:lang w:eastAsia="zh-CN"/>
        </w:rPr>
        <w:t>资金</w:t>
      </w:r>
      <w:r>
        <w:rPr>
          <w:rFonts w:hint="eastAsia" w:ascii="仿宋_GB2312" w:hAnsi="仿宋_GB2312" w:eastAsia="仿宋_GB2312" w:cs="仿宋_GB2312"/>
          <w:b w:val="0"/>
          <w:bCs w:val="0"/>
          <w:color w:val="auto"/>
          <w:sz w:val="32"/>
          <w:szCs w:val="24"/>
          <w:u w:val="none"/>
          <w:lang w:val="en-US" w:eastAsia="zh-CN"/>
        </w:rPr>
        <w:t>严格按经批准的预算执行，不得随意调剂。确需调剂的，省</w:t>
      </w:r>
      <w:r>
        <w:rPr>
          <w:rFonts w:hint="eastAsia" w:ascii="仿宋_GB2312" w:hAnsi="仿宋_GB2312" w:cs="仿宋_GB2312"/>
          <w:b w:val="0"/>
          <w:bCs w:val="0"/>
          <w:color w:val="auto"/>
          <w:sz w:val="32"/>
          <w:szCs w:val="24"/>
          <w:u w:val="none"/>
          <w:lang w:val="en-US" w:eastAsia="zh-CN"/>
        </w:rPr>
        <w:t>教育厅</w:t>
      </w:r>
      <w:r>
        <w:rPr>
          <w:rFonts w:hint="eastAsia" w:ascii="仿宋_GB2312" w:hAnsi="仿宋_GB2312" w:eastAsia="仿宋_GB2312" w:cs="仿宋_GB2312"/>
          <w:b w:val="0"/>
          <w:bCs w:val="0"/>
          <w:color w:val="auto"/>
          <w:sz w:val="32"/>
          <w:szCs w:val="24"/>
          <w:u w:val="none"/>
          <w:lang w:val="en-US" w:eastAsia="zh-CN"/>
        </w:rPr>
        <w:t>原则上应在6月底前</w:t>
      </w:r>
      <w:r>
        <w:rPr>
          <w:rFonts w:hint="eastAsia" w:ascii="仿宋_GB2312" w:hAnsi="仿宋_GB2312" w:cs="仿宋_GB2312"/>
          <w:b w:val="0"/>
          <w:bCs w:val="0"/>
          <w:color w:val="auto"/>
          <w:sz w:val="32"/>
          <w:szCs w:val="24"/>
          <w:u w:val="none"/>
          <w:lang w:val="en-US" w:eastAsia="zh-CN"/>
        </w:rPr>
        <w:t>按照调剂管理及办理程序有关规定，</w:t>
      </w:r>
      <w:r>
        <w:rPr>
          <w:rFonts w:hint="eastAsia" w:ascii="仿宋_GB2312" w:hAnsi="仿宋_GB2312" w:eastAsia="仿宋_GB2312" w:cs="仿宋_GB2312"/>
          <w:b w:val="0"/>
          <w:bCs w:val="0"/>
          <w:color w:val="auto"/>
          <w:sz w:val="32"/>
          <w:szCs w:val="24"/>
          <w:u w:val="none"/>
          <w:lang w:val="en-US" w:eastAsia="zh-CN"/>
        </w:rPr>
        <w:t>调剂用于同一政策领域已储备可执行项目的事项。</w:t>
      </w:r>
      <w:r>
        <w:rPr>
          <w:rFonts w:hint="eastAsia" w:ascii="仿宋_GB2312" w:hAnsi="仿宋_GB2312" w:cs="仿宋_GB2312"/>
          <w:b w:val="0"/>
          <w:bCs w:val="0"/>
          <w:color w:val="auto"/>
          <w:sz w:val="32"/>
          <w:szCs w:val="24"/>
          <w:u w:val="none"/>
          <w:lang w:val="en-US" w:eastAsia="zh-CN"/>
        </w:rPr>
        <w:t>当年累计调剂资金额度</w:t>
      </w:r>
      <w:r>
        <w:rPr>
          <w:rFonts w:hint="eastAsia" w:ascii="仿宋_GB2312" w:hAnsi="仿宋_GB2312" w:eastAsia="仿宋_GB2312" w:cs="仿宋_GB2312"/>
          <w:b w:val="0"/>
          <w:bCs w:val="0"/>
          <w:color w:val="auto"/>
          <w:sz w:val="32"/>
          <w:szCs w:val="24"/>
          <w:u w:val="none"/>
          <w:lang w:val="en-US" w:eastAsia="zh-CN"/>
        </w:rPr>
        <w:t>达到10%</w:t>
      </w:r>
      <w:r>
        <w:rPr>
          <w:rFonts w:hint="eastAsia" w:ascii="仿宋_GB2312" w:hAnsi="仿宋_GB2312" w:cs="仿宋_GB2312"/>
          <w:b w:val="0"/>
          <w:bCs w:val="0"/>
          <w:color w:val="auto"/>
          <w:sz w:val="32"/>
          <w:szCs w:val="24"/>
          <w:u w:val="none"/>
          <w:lang w:val="en-US" w:eastAsia="zh-CN"/>
        </w:rPr>
        <w:t>及以上</w:t>
      </w:r>
      <w:r>
        <w:rPr>
          <w:rFonts w:hint="eastAsia" w:ascii="仿宋_GB2312" w:hAnsi="仿宋_GB2312" w:eastAsia="仿宋_GB2312" w:cs="仿宋_GB2312"/>
          <w:b w:val="0"/>
          <w:bCs w:val="0"/>
          <w:color w:val="auto"/>
          <w:sz w:val="32"/>
          <w:szCs w:val="24"/>
          <w:u w:val="none"/>
          <w:lang w:val="en-US" w:eastAsia="zh-CN"/>
        </w:rPr>
        <w:t>的，报分管省领导审批；达到20%及以上的，经分管省领导和分管财政的省领导审核后，报省长审批。</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left="0" w:leftChars="0" w:firstLine="640" w:firstLineChars="200"/>
        <w:textAlignment w:val="auto"/>
        <w:outlineLvl w:val="9"/>
        <w:rPr>
          <w:rFonts w:hint="default" w:ascii="Calibri" w:hAnsi="Calibri" w:eastAsia="仿宋_GB2312" w:cs="Times New Roman"/>
          <w:b w:val="0"/>
          <w:bCs w:val="0"/>
          <w:color w:val="auto"/>
          <w:sz w:val="32"/>
          <w:szCs w:val="24"/>
          <w:highlight w:val="none"/>
          <w:u w:val="none" w:color="auto"/>
          <w:lang w:val="en-US" w:eastAsia="zh-CN"/>
        </w:rPr>
      </w:pPr>
      <w:r>
        <w:rPr>
          <w:rFonts w:hint="eastAsia" w:ascii="黑体" w:hAnsi="黑体" w:eastAsia="黑体" w:cs="黑体"/>
          <w:b w:val="0"/>
          <w:bCs w:val="0"/>
          <w:color w:val="auto"/>
          <w:sz w:val="32"/>
          <w:szCs w:val="24"/>
          <w:highlight w:val="none"/>
          <w:u w:val="none" w:color="auto"/>
          <w:lang w:val="en-US" w:eastAsia="zh-CN"/>
        </w:rPr>
        <w:t>第二十一条</w:t>
      </w:r>
      <w:r>
        <w:rPr>
          <w:rFonts w:hint="default" w:ascii="Calibri" w:hAnsi="Calibri" w:eastAsia="仿宋_GB2312" w:cs="Times New Roman"/>
          <w:b w:val="0"/>
          <w:bCs w:val="0"/>
          <w:color w:val="auto"/>
          <w:sz w:val="32"/>
          <w:szCs w:val="24"/>
          <w:highlight w:val="none"/>
          <w:u w:val="none" w:color="auto"/>
          <w:lang w:val="en-US" w:eastAsia="zh-CN"/>
        </w:rPr>
        <w:t xml:space="preserve"> 项目实施完毕后，省</w:t>
      </w:r>
      <w:r>
        <w:rPr>
          <w:rFonts w:hint="default" w:ascii="Calibri" w:hAnsi="Calibri" w:cs="Times New Roman"/>
          <w:b w:val="0"/>
          <w:bCs w:val="0"/>
          <w:color w:val="auto"/>
          <w:sz w:val="32"/>
          <w:szCs w:val="24"/>
          <w:highlight w:val="none"/>
          <w:u w:val="none" w:color="auto"/>
          <w:lang w:val="en-US" w:eastAsia="zh-CN"/>
        </w:rPr>
        <w:t>教育厅</w:t>
      </w:r>
      <w:r>
        <w:rPr>
          <w:rFonts w:hint="default" w:ascii="Calibri" w:hAnsi="Calibri" w:eastAsia="仿宋_GB2312" w:cs="Times New Roman"/>
          <w:b w:val="0"/>
          <w:bCs w:val="0"/>
          <w:color w:val="auto"/>
          <w:sz w:val="32"/>
          <w:szCs w:val="24"/>
          <w:highlight w:val="none"/>
          <w:u w:val="none" w:color="auto"/>
          <w:lang w:val="en-US" w:eastAsia="zh-CN"/>
        </w:rPr>
        <w:t>、市县</w:t>
      </w:r>
      <w:r>
        <w:rPr>
          <w:rFonts w:hint="default" w:ascii="Calibri" w:hAnsi="Calibri" w:cs="Times New Roman"/>
          <w:b w:val="0"/>
          <w:bCs w:val="0"/>
          <w:color w:val="auto"/>
          <w:sz w:val="32"/>
          <w:szCs w:val="24"/>
          <w:highlight w:val="none"/>
          <w:u w:val="none" w:color="auto"/>
          <w:lang w:val="en-US" w:eastAsia="zh-CN"/>
        </w:rPr>
        <w:t>教育</w:t>
      </w:r>
      <w:r>
        <w:rPr>
          <w:rFonts w:hint="default" w:ascii="Calibri" w:hAnsi="Calibri" w:eastAsia="仿宋_GB2312" w:cs="Times New Roman"/>
          <w:b w:val="0"/>
          <w:bCs w:val="0"/>
          <w:color w:val="auto"/>
          <w:sz w:val="32"/>
          <w:szCs w:val="24"/>
          <w:highlight w:val="none"/>
          <w:u w:val="none" w:color="auto"/>
          <w:lang w:val="en-US" w:eastAsia="zh-CN"/>
        </w:rPr>
        <w:t>主管部门和用款单位原则上要按照</w:t>
      </w:r>
      <w:r>
        <w:rPr>
          <w:rFonts w:hint="eastAsia" w:ascii="仿宋_GB2312" w:hAnsi="仿宋_GB2312" w:cs="仿宋_GB2312"/>
          <w:b w:val="0"/>
          <w:bCs w:val="0"/>
          <w:color w:val="auto"/>
          <w:sz w:val="32"/>
          <w:szCs w:val="24"/>
          <w:highlight w:val="none"/>
          <w:u w:val="none" w:color="auto"/>
          <w:lang w:val="en-US" w:eastAsia="zh-CN"/>
        </w:rPr>
        <w:t>“</w:t>
      </w:r>
      <w:r>
        <w:rPr>
          <w:rFonts w:hint="eastAsia" w:ascii="仿宋_GB2312" w:hAnsi="仿宋_GB2312" w:eastAsia="仿宋_GB2312" w:cs="仿宋_GB2312"/>
          <w:b w:val="0"/>
          <w:bCs w:val="0"/>
          <w:color w:val="auto"/>
          <w:sz w:val="32"/>
          <w:szCs w:val="24"/>
          <w:highlight w:val="none"/>
          <w:u w:val="none" w:color="auto"/>
          <w:lang w:val="en-US" w:eastAsia="zh-CN"/>
        </w:rPr>
        <w:t>谁审批具体项目，谁验收考评</w:t>
      </w:r>
      <w:r>
        <w:rPr>
          <w:rFonts w:hint="eastAsia" w:ascii="仿宋_GB2312" w:hAnsi="仿宋_GB2312" w:cs="仿宋_GB2312"/>
          <w:b w:val="0"/>
          <w:bCs w:val="0"/>
          <w:color w:val="auto"/>
          <w:sz w:val="32"/>
          <w:szCs w:val="24"/>
          <w:u w:val="none"/>
          <w:lang w:val="en-US" w:eastAsia="zh-CN"/>
        </w:rPr>
        <w:t>”</w:t>
      </w:r>
      <w:r>
        <w:rPr>
          <w:rFonts w:hint="eastAsia" w:ascii="仿宋_GB2312" w:hAnsi="仿宋_GB2312" w:eastAsia="仿宋_GB2312" w:cs="仿宋_GB2312"/>
          <w:b w:val="0"/>
          <w:bCs w:val="0"/>
          <w:color w:val="auto"/>
          <w:sz w:val="32"/>
          <w:szCs w:val="24"/>
          <w:highlight w:val="none"/>
          <w:u w:val="none" w:color="auto"/>
          <w:lang w:val="en-US" w:eastAsia="zh-CN"/>
        </w:rPr>
        <w:t>的原则，自主或委托第三方专业机构组织项目验收或考评，并于下一年度3月底</w:t>
      </w:r>
      <w:r>
        <w:rPr>
          <w:rFonts w:hint="default" w:ascii="Calibri" w:hAnsi="Calibri" w:eastAsia="仿宋_GB2312" w:cs="Times New Roman"/>
          <w:b w:val="0"/>
          <w:bCs w:val="0"/>
          <w:color w:val="auto"/>
          <w:sz w:val="32"/>
          <w:szCs w:val="24"/>
          <w:highlight w:val="none"/>
          <w:u w:val="none" w:color="auto"/>
          <w:lang w:val="en-US" w:eastAsia="zh-CN"/>
        </w:rPr>
        <w:t>前将验收或考评结果报同级财政部门备案，对验收不通过项目的资金由</w:t>
      </w:r>
      <w:r>
        <w:rPr>
          <w:rFonts w:hint="default" w:ascii="Calibri" w:hAnsi="Calibri" w:cs="Times New Roman"/>
          <w:b w:val="0"/>
          <w:bCs w:val="0"/>
          <w:color w:val="auto"/>
          <w:sz w:val="32"/>
          <w:szCs w:val="24"/>
          <w:highlight w:val="none"/>
          <w:u w:val="none" w:color="auto"/>
          <w:lang w:val="en-US" w:eastAsia="zh-CN"/>
        </w:rPr>
        <w:t>教育</w:t>
      </w:r>
      <w:r>
        <w:rPr>
          <w:rFonts w:hint="default" w:ascii="Calibri" w:hAnsi="Calibri" w:eastAsia="仿宋_GB2312" w:cs="Times New Roman"/>
          <w:b w:val="0"/>
          <w:bCs w:val="0"/>
          <w:color w:val="auto"/>
          <w:sz w:val="32"/>
          <w:szCs w:val="24"/>
          <w:highlight w:val="none"/>
          <w:u w:val="none" w:color="auto"/>
          <w:lang w:val="en-US" w:eastAsia="zh-CN"/>
        </w:rPr>
        <w:t>主管部门提出处理意见后及时报财政部门审核办理。</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Lines="0" w:afterLines="0" w:line="360" w:lineRule="auto"/>
        <w:ind w:firstLine="640" w:firstLineChars="200"/>
        <w:jc w:val="left"/>
        <w:textAlignment w:val="auto"/>
        <w:outlineLvl w:val="9"/>
        <w:rPr>
          <w:rFonts w:hint="eastAsia" w:ascii="Calibri" w:hAnsi="Calibri" w:eastAsia="仿宋_GB2312" w:cs="Times New Roman"/>
          <w:color w:val="auto"/>
          <w:kern w:val="2"/>
          <w:sz w:val="32"/>
        </w:rPr>
      </w:pPr>
      <w:r>
        <w:rPr>
          <w:rFonts w:hint="eastAsia" w:ascii="黑体" w:hAnsi="黑体" w:eastAsia="黑体" w:cs="黑体"/>
          <w:color w:val="auto"/>
          <w:kern w:val="2"/>
          <w:sz w:val="32"/>
          <w:u w:val="none"/>
          <w:lang w:val="en-US" w:eastAsia="zh-CN"/>
        </w:rPr>
        <w:t>第二十二条</w:t>
      </w:r>
      <w:r>
        <w:rPr>
          <w:rFonts w:hint="eastAsia" w:cs="Times New Roman"/>
          <w:color w:val="auto"/>
          <w:kern w:val="2"/>
          <w:sz w:val="32"/>
          <w:u w:val="none"/>
          <w:lang w:val="en-US" w:eastAsia="zh-CN"/>
        </w:rPr>
        <w:t xml:space="preserve"> </w:t>
      </w:r>
      <w:r>
        <w:rPr>
          <w:rFonts w:hint="eastAsia" w:ascii="Calibri" w:hAnsi="Calibri" w:eastAsia="仿宋_GB2312" w:cs="Times New Roman"/>
          <w:color w:val="auto"/>
          <w:kern w:val="2"/>
          <w:sz w:val="32"/>
          <w:u w:val="none"/>
          <w:lang w:val="en-US" w:eastAsia="zh-CN"/>
        </w:rPr>
        <w:t>“</w:t>
      </w:r>
      <w:r>
        <w:rPr>
          <w:rFonts w:hint="eastAsia" w:ascii="Calibri" w:hAnsi="Calibri" w:cs="Times New Roman"/>
          <w:color w:val="auto"/>
          <w:kern w:val="2"/>
          <w:sz w:val="32"/>
          <w:u w:val="none"/>
          <w:lang w:val="en-US" w:eastAsia="zh-CN"/>
        </w:rPr>
        <w:t>扩提</w:t>
      </w:r>
      <w:r>
        <w:rPr>
          <w:rFonts w:hint="eastAsia" w:ascii="Calibri" w:hAnsi="Calibri" w:eastAsia="仿宋_GB2312" w:cs="Times New Roman"/>
          <w:color w:val="auto"/>
          <w:kern w:val="2"/>
          <w:sz w:val="32"/>
          <w:u w:val="none"/>
          <w:lang w:val="en-US" w:eastAsia="zh-CN"/>
        </w:rPr>
        <w:t>强”</w:t>
      </w:r>
      <w:r>
        <w:rPr>
          <w:rFonts w:hint="eastAsia" w:ascii="Calibri" w:eastAsia="仿宋_GB2312" w:cs="Times New Roman"/>
          <w:color w:val="auto"/>
          <w:lang w:val="en-US" w:eastAsia="zh-CN" w:bidi="ar-SA"/>
        </w:rPr>
        <w:t>资金按照国库集中支付有关规定办理资金拨付手续</w:t>
      </w:r>
      <w:r>
        <w:rPr>
          <w:rFonts w:hint="eastAsia" w:cs="Times New Roman"/>
          <w:color w:val="auto"/>
          <w:lang w:val="en-US" w:eastAsia="zh-CN" w:bidi="ar-SA"/>
        </w:rPr>
        <w:t>。</w:t>
      </w:r>
      <w:r>
        <w:rPr>
          <w:rFonts w:hint="eastAsia" w:ascii="Calibri" w:hAnsi="Calibri" w:eastAsia="仿宋_GB2312" w:cs="Times New Roman"/>
          <w:color w:val="auto"/>
          <w:kern w:val="2"/>
          <w:sz w:val="32"/>
        </w:rPr>
        <w:t>属于政府采购范围的，按照政府采购有关规定执行；属于基建支出的，按照基建有关规定执行。</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Lines="0" w:afterLines="0" w:line="360" w:lineRule="auto"/>
        <w:ind w:firstLine="640" w:firstLineChars="200"/>
        <w:jc w:val="left"/>
        <w:textAlignment w:val="auto"/>
        <w:outlineLvl w:val="9"/>
        <w:rPr>
          <w:rFonts w:hint="eastAsia" w:ascii="仿宋_GB2312" w:eastAsia="仿宋_GB2312" w:cs="仿宋_GB2312"/>
          <w:color w:val="auto"/>
          <w:highlight w:val="none"/>
          <w:lang w:val="en-US" w:eastAsia="zh-CN" w:bidi="ar-SA"/>
        </w:rPr>
      </w:pPr>
      <w:r>
        <w:rPr>
          <w:rFonts w:hint="eastAsia" w:ascii="黑体" w:eastAsia="黑体" w:cs="黑体"/>
          <w:color w:val="auto"/>
          <w:kern w:val="2"/>
          <w:sz w:val="32"/>
          <w:szCs w:val="32"/>
          <w:highlight w:val="none"/>
          <w:lang w:val="en-US" w:eastAsia="zh-CN" w:bidi="ar-SA"/>
        </w:rPr>
        <w:t>第二十三条</w:t>
      </w:r>
      <w:r>
        <w:rPr>
          <w:rFonts w:hint="eastAsia" w:ascii="仿宋_GB2312" w:eastAsia="仿宋_GB2312" w:cs="仿宋_GB2312"/>
          <w:color w:val="auto"/>
          <w:highlight w:val="none"/>
          <w:lang w:val="en-US" w:eastAsia="zh-CN" w:bidi="ar-SA"/>
        </w:rPr>
        <w:t xml:space="preserve"> 预算年度终了，各级</w:t>
      </w:r>
      <w:r>
        <w:rPr>
          <w:rFonts w:hint="eastAsia" w:ascii="仿宋_GB2312" w:cs="仿宋_GB2312"/>
          <w:color w:val="auto"/>
          <w:highlight w:val="none"/>
          <w:lang w:val="en-US" w:eastAsia="zh-CN" w:bidi="ar-SA"/>
        </w:rPr>
        <w:t>教育</w:t>
      </w:r>
      <w:r>
        <w:rPr>
          <w:rFonts w:hint="eastAsia" w:ascii="仿宋_GB2312" w:eastAsia="仿宋_GB2312" w:cs="仿宋_GB2312"/>
          <w:color w:val="auto"/>
          <w:highlight w:val="none"/>
          <w:lang w:val="en-US" w:eastAsia="zh-CN" w:bidi="ar-SA"/>
        </w:rPr>
        <w:t>主管部门应按规定编列资金年度决算报表，报送同级财政部门。</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Lines="0" w:afterLines="0" w:line="360" w:lineRule="auto"/>
        <w:ind w:firstLine="640" w:firstLineChars="200"/>
        <w:jc w:val="left"/>
        <w:textAlignment w:val="auto"/>
        <w:outlineLvl w:val="9"/>
        <w:rPr>
          <w:rFonts w:hint="eastAsia" w:ascii="Calibri" w:hAnsi="Calibri" w:eastAsia="仿宋_GB2312" w:cs="Times New Roman"/>
          <w:color w:val="auto"/>
          <w:kern w:val="2"/>
          <w:sz w:val="32"/>
          <w:highlight w:val="none"/>
        </w:rPr>
      </w:pPr>
      <w:r>
        <w:rPr>
          <w:rFonts w:hint="eastAsia" w:ascii="黑体" w:hAnsi="黑体" w:eastAsia="黑体" w:cs="黑体"/>
          <w:b w:val="0"/>
          <w:bCs w:val="0"/>
          <w:color w:val="auto"/>
          <w:kern w:val="2"/>
          <w:sz w:val="32"/>
          <w:szCs w:val="24"/>
          <w:highlight w:val="none"/>
        </w:rPr>
        <w:t>第</w:t>
      </w:r>
      <w:r>
        <w:rPr>
          <w:rFonts w:hint="eastAsia" w:ascii="黑体" w:hAnsi="黑体" w:eastAsia="黑体" w:cs="黑体"/>
          <w:b w:val="0"/>
          <w:bCs w:val="0"/>
          <w:color w:val="auto"/>
          <w:kern w:val="2"/>
          <w:sz w:val="32"/>
          <w:szCs w:val="24"/>
          <w:highlight w:val="none"/>
          <w:lang w:eastAsia="zh-CN"/>
        </w:rPr>
        <w:t>二十四</w:t>
      </w:r>
      <w:r>
        <w:rPr>
          <w:rFonts w:hint="eastAsia" w:ascii="黑体" w:hAnsi="黑体" w:eastAsia="黑体" w:cs="黑体"/>
          <w:b w:val="0"/>
          <w:bCs w:val="0"/>
          <w:color w:val="auto"/>
          <w:kern w:val="2"/>
          <w:sz w:val="32"/>
          <w:szCs w:val="24"/>
          <w:highlight w:val="none"/>
        </w:rPr>
        <w:t>条</w:t>
      </w:r>
      <w:r>
        <w:rPr>
          <w:rFonts w:hint="eastAsia" w:ascii="黑体" w:hAnsi="黑体" w:eastAsia="黑体" w:cs="黑体"/>
          <w:b w:val="0"/>
          <w:bCs w:val="0"/>
          <w:color w:val="auto"/>
          <w:kern w:val="2"/>
          <w:sz w:val="32"/>
          <w:szCs w:val="24"/>
          <w:highlight w:val="none"/>
          <w:lang w:val="en-US" w:eastAsia="zh-CN"/>
        </w:rPr>
        <w:t xml:space="preserve"> </w:t>
      </w:r>
      <w:r>
        <w:rPr>
          <w:rFonts w:hint="eastAsia" w:ascii="Calibri" w:hAnsi="Calibri" w:eastAsia="仿宋_GB2312" w:cs="Times New Roman"/>
          <w:color w:val="auto"/>
          <w:kern w:val="2"/>
          <w:sz w:val="32"/>
          <w:highlight w:val="none"/>
          <w:lang w:eastAsia="zh-CN"/>
        </w:rPr>
        <w:t>各</w:t>
      </w:r>
      <w:r>
        <w:rPr>
          <w:rFonts w:hint="eastAsia" w:cs="Times New Roman"/>
          <w:color w:val="auto"/>
          <w:kern w:val="2"/>
          <w:sz w:val="32"/>
          <w:highlight w:val="none"/>
          <w:lang w:eastAsia="zh-CN"/>
        </w:rPr>
        <w:t>院</w:t>
      </w:r>
      <w:r>
        <w:rPr>
          <w:rFonts w:hint="eastAsia" w:ascii="Calibri" w:hAnsi="Calibri" w:eastAsia="仿宋_GB2312" w:cs="Times New Roman"/>
          <w:color w:val="auto"/>
          <w:kern w:val="2"/>
          <w:sz w:val="32"/>
          <w:highlight w:val="none"/>
        </w:rPr>
        <w:t>校应当加强资产配置管理，提高资产配置的科学性，优化存量、控制增量，避免重复配置。使用“</w:t>
      </w:r>
      <w:r>
        <w:rPr>
          <w:rFonts w:hint="eastAsia" w:ascii="Calibri" w:hAnsi="Calibri" w:cs="Times New Roman"/>
          <w:color w:val="auto"/>
          <w:kern w:val="2"/>
          <w:sz w:val="32"/>
          <w:highlight w:val="none"/>
          <w:lang w:eastAsia="zh-CN"/>
        </w:rPr>
        <w:t>扩提</w:t>
      </w:r>
      <w:r>
        <w:rPr>
          <w:rFonts w:hint="eastAsia" w:ascii="Calibri" w:hAnsi="Calibri" w:eastAsia="仿宋_GB2312" w:cs="Times New Roman"/>
          <w:color w:val="auto"/>
          <w:kern w:val="2"/>
          <w:sz w:val="32"/>
          <w:highlight w:val="none"/>
        </w:rPr>
        <w:t>强”资金形成的资产均属国有资产，应当按照国家国有资产管理的有关规定加强管理，提高资产使用效率。</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Lines="0" w:beforeAutospacing="0" w:after="0" w:afterLines="0" w:afterAutospacing="0" w:line="360" w:lineRule="auto"/>
        <w:ind w:firstLine="640" w:firstLineChars="200"/>
        <w:jc w:val="both"/>
        <w:textAlignment w:val="auto"/>
        <w:rPr>
          <w:rFonts w:hint="eastAsia" w:ascii="Calibri" w:hAnsi="Calibri" w:eastAsia="仿宋_GB2312" w:cs="Times New Roman"/>
          <w:color w:val="auto"/>
          <w:kern w:val="2"/>
          <w:sz w:val="32"/>
          <w:highlight w:val="none"/>
        </w:rPr>
      </w:pPr>
    </w:p>
    <w:p>
      <w:pPr>
        <w:keepNext w:val="0"/>
        <w:keepLines w:val="0"/>
        <w:pageBreakBefore w:val="0"/>
        <w:widowControl w:val="0"/>
        <w:kinsoku/>
        <w:wordWrap/>
        <w:overflowPunct/>
        <w:topLinePunct w:val="0"/>
        <w:autoSpaceDE/>
        <w:autoSpaceDN/>
        <w:bidi w:val="0"/>
        <w:adjustRightInd w:val="0"/>
        <w:snapToGrid w:val="0"/>
        <w:spacing w:beforeLines="0" w:after="0" w:afterLines="0" w:afterAutospacing="0" w:line="360" w:lineRule="auto"/>
        <w:jc w:val="center"/>
        <w:textAlignment w:val="auto"/>
        <w:rPr>
          <w:rFonts w:hint="eastAsia" w:ascii="黑体" w:hAnsi="黑体" w:eastAsia="黑体" w:cs="黑体"/>
          <w:color w:val="auto"/>
          <w:sz w:val="32"/>
          <w:szCs w:val="24"/>
          <w:highlight w:val="none"/>
        </w:rPr>
      </w:pPr>
      <w:r>
        <w:rPr>
          <w:rFonts w:hint="eastAsia" w:ascii="黑体" w:hAnsi="黑体" w:eastAsia="黑体" w:cs="黑体"/>
          <w:color w:val="auto"/>
          <w:sz w:val="32"/>
          <w:szCs w:val="24"/>
          <w:highlight w:val="none"/>
        </w:rPr>
        <w:t>第</w:t>
      </w:r>
      <w:r>
        <w:rPr>
          <w:rFonts w:hint="eastAsia" w:ascii="黑体" w:hAnsi="黑体" w:eastAsia="黑体" w:cs="黑体"/>
          <w:color w:val="auto"/>
          <w:sz w:val="32"/>
          <w:szCs w:val="24"/>
          <w:highlight w:val="none"/>
          <w:lang w:eastAsia="zh-CN"/>
        </w:rPr>
        <w:t>五</w:t>
      </w:r>
      <w:r>
        <w:rPr>
          <w:rFonts w:hint="eastAsia" w:ascii="黑体" w:hAnsi="黑体" w:eastAsia="黑体" w:cs="黑体"/>
          <w:color w:val="auto"/>
          <w:sz w:val="32"/>
          <w:szCs w:val="24"/>
          <w:highlight w:val="none"/>
        </w:rPr>
        <w:t>章</w:t>
      </w:r>
      <w:r>
        <w:rPr>
          <w:rFonts w:hint="eastAsia" w:ascii="黑体" w:hAnsi="黑体" w:eastAsia="黑体" w:cs="黑体"/>
          <w:color w:val="auto"/>
          <w:sz w:val="32"/>
          <w:szCs w:val="24"/>
          <w:highlight w:val="none"/>
          <w:lang w:val="en-US" w:eastAsia="zh-CN"/>
        </w:rPr>
        <w:t xml:space="preserve">  </w:t>
      </w:r>
      <w:r>
        <w:rPr>
          <w:rFonts w:hint="eastAsia" w:ascii="黑体" w:hAnsi="黑体" w:eastAsia="黑体" w:cs="黑体"/>
          <w:color w:val="auto"/>
          <w:sz w:val="32"/>
          <w:szCs w:val="24"/>
          <w:highlight w:val="none"/>
        </w:rPr>
        <w:t>监督管理和绩效评价</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firstLine="640" w:firstLineChars="200"/>
        <w:textAlignment w:val="auto"/>
        <w:outlineLvl w:val="9"/>
        <w:rPr>
          <w:rFonts w:hint="default" w:ascii="Calibri" w:hAnsi="Calibri" w:eastAsia="仿宋_GB2312" w:cs="Times New Roman"/>
          <w:color w:val="auto"/>
          <w:kern w:val="0"/>
          <w:sz w:val="32"/>
          <w:highlight w:val="none"/>
        </w:rPr>
      </w:pPr>
      <w:r>
        <w:rPr>
          <w:rFonts w:hint="eastAsia" w:ascii="黑体" w:hAnsi="黑体" w:eastAsia="黑体" w:cs="黑体"/>
          <w:color w:val="auto"/>
          <w:kern w:val="0"/>
          <w:sz w:val="32"/>
          <w:szCs w:val="24"/>
          <w:highlight w:val="none"/>
        </w:rPr>
        <w:t>第</w:t>
      </w:r>
      <w:r>
        <w:rPr>
          <w:rFonts w:hint="eastAsia" w:ascii="黑体" w:hAnsi="黑体" w:eastAsia="黑体" w:cs="黑体"/>
          <w:color w:val="auto"/>
          <w:kern w:val="0"/>
          <w:sz w:val="32"/>
          <w:szCs w:val="24"/>
          <w:highlight w:val="none"/>
          <w:lang w:eastAsia="zh-CN"/>
        </w:rPr>
        <w:t>二十五</w:t>
      </w:r>
      <w:r>
        <w:rPr>
          <w:rFonts w:hint="eastAsia" w:ascii="黑体" w:hAnsi="黑体" w:eastAsia="黑体" w:cs="黑体"/>
          <w:color w:val="auto"/>
          <w:kern w:val="0"/>
          <w:sz w:val="32"/>
          <w:szCs w:val="24"/>
          <w:highlight w:val="none"/>
        </w:rPr>
        <w:t>条</w:t>
      </w:r>
      <w:r>
        <w:rPr>
          <w:rFonts w:hint="default" w:ascii="Calibri" w:hAnsi="Calibri" w:eastAsia="仿宋_GB2312" w:cs="Times New Roman"/>
          <w:color w:val="auto"/>
          <w:kern w:val="0"/>
          <w:sz w:val="32"/>
          <w:szCs w:val="24"/>
          <w:highlight w:val="none"/>
          <w:lang w:val="en-US" w:eastAsia="zh-CN"/>
        </w:rPr>
        <w:t xml:space="preserve"> </w:t>
      </w:r>
      <w:r>
        <w:rPr>
          <w:rFonts w:hint="eastAsia" w:ascii="仿宋_GB2312" w:hAnsi="仿宋_GB2312" w:eastAsia="仿宋_GB2312" w:cs="仿宋_GB2312"/>
          <w:b w:val="0"/>
          <w:bCs w:val="0"/>
          <w:color w:val="auto"/>
          <w:sz w:val="32"/>
          <w:szCs w:val="32"/>
          <w:highlight w:val="none"/>
          <w:u w:val="none" w:color="auto"/>
          <w:lang w:val="en-US" w:eastAsia="zh-CN"/>
        </w:rPr>
        <w:t>预算执行阶段，</w:t>
      </w:r>
      <w:r>
        <w:rPr>
          <w:rFonts w:hint="default" w:ascii="Calibri" w:hAnsi="Calibri" w:eastAsia="仿宋_GB2312" w:cs="Times New Roman"/>
          <w:color w:val="auto"/>
          <w:kern w:val="0"/>
          <w:sz w:val="32"/>
          <w:highlight w:val="none"/>
        </w:rPr>
        <w:t>对执行进度</w:t>
      </w:r>
      <w:r>
        <w:rPr>
          <w:rFonts w:hint="default" w:cs="Times New Roman"/>
          <w:color w:val="auto"/>
          <w:kern w:val="0"/>
          <w:sz w:val="32"/>
          <w:highlight w:val="none"/>
          <w:lang w:eastAsia="zh-CN"/>
        </w:rPr>
        <w:t>滞后</w:t>
      </w:r>
      <w:r>
        <w:rPr>
          <w:rFonts w:hint="default" w:ascii="Calibri" w:hAnsi="Calibri" w:eastAsia="仿宋_GB2312" w:cs="Times New Roman"/>
          <w:color w:val="auto"/>
          <w:kern w:val="0"/>
          <w:sz w:val="32"/>
          <w:highlight w:val="none"/>
        </w:rPr>
        <w:t>、绩效目标偏离的，</w:t>
      </w:r>
      <w:r>
        <w:rPr>
          <w:rFonts w:hint="default" w:cs="Times New Roman"/>
          <w:color w:val="auto"/>
          <w:kern w:val="0"/>
          <w:sz w:val="32"/>
          <w:highlight w:val="none"/>
          <w:lang w:eastAsia="zh-CN"/>
        </w:rPr>
        <w:t>省教育厅</w:t>
      </w:r>
      <w:r>
        <w:rPr>
          <w:rFonts w:hint="default" w:ascii="Calibri" w:hAnsi="Calibri" w:eastAsia="仿宋_GB2312" w:cs="Times New Roman"/>
          <w:color w:val="auto"/>
          <w:kern w:val="0"/>
          <w:sz w:val="32"/>
          <w:highlight w:val="none"/>
        </w:rPr>
        <w:t>及时责成</w:t>
      </w:r>
      <w:r>
        <w:rPr>
          <w:rFonts w:hint="default" w:ascii="Calibri" w:hAnsi="Calibri" w:cs="Times New Roman"/>
          <w:color w:val="auto"/>
          <w:kern w:val="0"/>
          <w:sz w:val="32"/>
          <w:highlight w:val="none"/>
          <w:lang w:eastAsia="zh-CN"/>
        </w:rPr>
        <w:t>项目</w:t>
      </w:r>
      <w:r>
        <w:rPr>
          <w:rFonts w:hint="default" w:ascii="Calibri" w:hAnsi="Calibri" w:eastAsia="仿宋_GB2312" w:cs="Times New Roman"/>
          <w:color w:val="auto"/>
          <w:kern w:val="0"/>
          <w:sz w:val="32"/>
          <w:highlight w:val="none"/>
        </w:rPr>
        <w:t>单位采取有效措施予以纠正；情况严重的，应按规定予以调整、暂缓或停止项目执行。省财政厅对预算执行进度情况</w:t>
      </w:r>
      <w:r>
        <w:rPr>
          <w:rFonts w:hint="default" w:ascii="Calibri" w:hAnsi="Calibri" w:eastAsia="仿宋_GB2312" w:cs="Times New Roman"/>
          <w:color w:val="auto"/>
          <w:kern w:val="0"/>
          <w:sz w:val="32"/>
          <w:highlight w:val="none"/>
          <w:lang w:eastAsia="zh-CN"/>
        </w:rPr>
        <w:t>和</w:t>
      </w:r>
      <w:r>
        <w:rPr>
          <w:rFonts w:hint="default" w:ascii="Calibri" w:hAnsi="Calibri" w:eastAsia="仿宋_GB2312" w:cs="Times New Roman"/>
          <w:color w:val="auto"/>
          <w:kern w:val="0"/>
          <w:sz w:val="32"/>
          <w:highlight w:val="none"/>
        </w:rPr>
        <w:t>绩效目标实现情况进行</w:t>
      </w:r>
      <w:r>
        <w:rPr>
          <w:rFonts w:hint="default" w:cs="Times New Roman"/>
          <w:color w:val="auto"/>
          <w:kern w:val="0"/>
          <w:sz w:val="32"/>
          <w:highlight w:val="none"/>
          <w:lang w:eastAsia="zh-CN"/>
        </w:rPr>
        <w:t>监控</w:t>
      </w:r>
      <w:r>
        <w:rPr>
          <w:rFonts w:hint="default" w:ascii="Calibri" w:hAnsi="Calibri" w:eastAsia="仿宋_GB2312" w:cs="Times New Roman"/>
          <w:color w:val="auto"/>
          <w:kern w:val="0"/>
          <w:sz w:val="32"/>
          <w:highlight w:val="none"/>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360" w:lineRule="auto"/>
        <w:ind w:firstLine="640" w:firstLineChars="200"/>
        <w:textAlignment w:val="auto"/>
        <w:outlineLvl w:val="9"/>
        <w:rPr>
          <w:rFonts w:hint="eastAsia" w:ascii="仿宋_GB2312" w:hAnsi="仿宋_GB2312" w:eastAsia="仿宋_GB2312" w:cs="仿宋_GB2312"/>
          <w:b w:val="0"/>
          <w:bCs w:val="0"/>
          <w:color w:val="auto"/>
          <w:sz w:val="32"/>
          <w:szCs w:val="32"/>
          <w:highlight w:val="none"/>
          <w:u w:val="none" w:color="auto"/>
          <w:lang w:eastAsia="zh-CN"/>
        </w:rPr>
      </w:pPr>
      <w:r>
        <w:rPr>
          <w:rFonts w:hint="eastAsia" w:ascii="黑体" w:hAnsi="黑体" w:eastAsia="黑体" w:cs="黑体"/>
          <w:color w:val="auto"/>
          <w:kern w:val="2"/>
          <w:sz w:val="32"/>
          <w:szCs w:val="24"/>
          <w:highlight w:val="none"/>
        </w:rPr>
        <w:t>第</w:t>
      </w:r>
      <w:r>
        <w:rPr>
          <w:rFonts w:hint="eastAsia" w:ascii="黑体" w:hAnsi="黑体" w:eastAsia="黑体" w:cs="黑体"/>
          <w:color w:val="auto"/>
          <w:kern w:val="2"/>
          <w:sz w:val="32"/>
          <w:szCs w:val="24"/>
          <w:highlight w:val="none"/>
          <w:lang w:eastAsia="zh-CN"/>
        </w:rPr>
        <w:t>二十六</w:t>
      </w:r>
      <w:r>
        <w:rPr>
          <w:rFonts w:hint="eastAsia" w:ascii="黑体" w:hAnsi="黑体" w:eastAsia="黑体" w:cs="黑体"/>
          <w:color w:val="auto"/>
          <w:kern w:val="2"/>
          <w:sz w:val="32"/>
          <w:szCs w:val="24"/>
          <w:highlight w:val="none"/>
        </w:rPr>
        <w:t>条</w:t>
      </w:r>
      <w:r>
        <w:rPr>
          <w:rFonts w:hint="eastAsia" w:cs="Times New Roman"/>
          <w:color w:val="auto"/>
          <w:kern w:val="2"/>
          <w:sz w:val="32"/>
          <w:szCs w:val="24"/>
          <w:highlight w:val="none"/>
          <w:lang w:val="en-US" w:eastAsia="zh-CN"/>
        </w:rPr>
        <w:t xml:space="preserve"> </w:t>
      </w:r>
      <w:r>
        <w:rPr>
          <w:rFonts w:hint="eastAsia" w:ascii="Calibri" w:eastAsia="仿宋_GB2312" w:cs="Times New Roman"/>
          <w:color w:val="auto"/>
          <w:kern w:val="2"/>
          <w:sz w:val="32"/>
          <w:szCs w:val="24"/>
          <w:highlight w:val="none"/>
          <w:u w:val="none"/>
          <w:lang w:eastAsia="zh-CN"/>
        </w:rPr>
        <w:t>预算年度</w:t>
      </w:r>
      <w:r>
        <w:rPr>
          <w:rFonts w:hint="eastAsia" w:cs="Times New Roman"/>
          <w:color w:val="auto"/>
          <w:kern w:val="2"/>
          <w:sz w:val="32"/>
          <w:szCs w:val="24"/>
          <w:highlight w:val="none"/>
          <w:u w:val="none"/>
          <w:lang w:eastAsia="zh-CN"/>
        </w:rPr>
        <w:t>终了</w:t>
      </w:r>
      <w:r>
        <w:rPr>
          <w:rFonts w:hint="eastAsia" w:ascii="Calibri" w:eastAsia="仿宋_GB2312" w:cs="Times New Roman"/>
          <w:color w:val="auto"/>
          <w:kern w:val="2"/>
          <w:sz w:val="32"/>
          <w:szCs w:val="24"/>
          <w:highlight w:val="none"/>
          <w:u w:val="none"/>
          <w:lang w:eastAsia="zh-CN"/>
        </w:rPr>
        <w:t>，</w:t>
      </w:r>
      <w:r>
        <w:rPr>
          <w:rFonts w:hint="eastAsia" w:ascii="仿宋_GB2312" w:hAnsi="仿宋_GB2312" w:eastAsia="仿宋_GB2312" w:cs="仿宋_GB2312"/>
          <w:b w:val="0"/>
          <w:bCs w:val="0"/>
          <w:color w:val="auto"/>
          <w:sz w:val="32"/>
          <w:szCs w:val="32"/>
          <w:highlight w:val="none"/>
          <w:u w:val="none" w:color="auto"/>
          <w:lang w:eastAsia="zh-CN"/>
        </w:rPr>
        <w:t>省</w:t>
      </w:r>
      <w:r>
        <w:rPr>
          <w:rFonts w:hint="eastAsia" w:ascii="仿宋_GB2312" w:hAnsi="仿宋_GB2312" w:cs="仿宋_GB2312"/>
          <w:b w:val="0"/>
          <w:bCs w:val="0"/>
          <w:color w:val="auto"/>
          <w:sz w:val="32"/>
          <w:szCs w:val="32"/>
          <w:highlight w:val="none"/>
          <w:u w:val="none" w:color="auto"/>
          <w:lang w:eastAsia="zh-CN"/>
        </w:rPr>
        <w:t>教育厅</w:t>
      </w:r>
      <w:r>
        <w:rPr>
          <w:rFonts w:hint="eastAsia" w:ascii="仿宋_GB2312" w:hAnsi="仿宋_GB2312" w:eastAsia="仿宋_GB2312" w:cs="仿宋_GB2312"/>
          <w:b w:val="0"/>
          <w:bCs w:val="0"/>
          <w:color w:val="auto"/>
          <w:sz w:val="32"/>
          <w:szCs w:val="32"/>
          <w:highlight w:val="none"/>
          <w:u w:val="none" w:color="auto"/>
          <w:lang w:eastAsia="zh-CN"/>
        </w:rPr>
        <w:t>要布置各地各单位对资金使用情况开展单位自评，对单位自评情况进行汇总并核查，将汇总核查情况报送省</w:t>
      </w:r>
      <w:r>
        <w:rPr>
          <w:rFonts w:hint="eastAsia" w:ascii="仿宋_GB2312" w:hAnsi="仿宋_GB2312" w:cs="仿宋_GB2312"/>
          <w:b w:val="0"/>
          <w:bCs w:val="0"/>
          <w:color w:val="auto"/>
          <w:sz w:val="32"/>
          <w:szCs w:val="32"/>
          <w:highlight w:val="none"/>
          <w:u w:val="none" w:color="auto"/>
          <w:lang w:eastAsia="zh-CN"/>
        </w:rPr>
        <w:t>财政厅</w:t>
      </w:r>
      <w:r>
        <w:rPr>
          <w:rFonts w:hint="eastAsia" w:ascii="仿宋_GB2312" w:hAnsi="仿宋_GB2312" w:eastAsia="仿宋_GB2312" w:cs="仿宋_GB2312"/>
          <w:b w:val="0"/>
          <w:bCs w:val="0"/>
          <w:color w:val="auto"/>
          <w:sz w:val="32"/>
          <w:szCs w:val="32"/>
          <w:highlight w:val="none"/>
          <w:u w:val="none" w:color="auto"/>
          <w:lang w:eastAsia="zh-CN"/>
        </w:rPr>
        <w:t>。实施周期内，省</w:t>
      </w:r>
      <w:r>
        <w:rPr>
          <w:rFonts w:hint="eastAsia" w:ascii="仿宋_GB2312" w:hAnsi="仿宋_GB2312" w:cs="仿宋_GB2312"/>
          <w:b w:val="0"/>
          <w:bCs w:val="0"/>
          <w:color w:val="auto"/>
          <w:sz w:val="32"/>
          <w:szCs w:val="32"/>
          <w:highlight w:val="none"/>
          <w:u w:val="none" w:color="auto"/>
          <w:lang w:eastAsia="zh-CN"/>
        </w:rPr>
        <w:t>教育厅</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cs="仿宋_GB2312"/>
          <w:b w:val="0"/>
          <w:bCs w:val="0"/>
          <w:color w:val="auto"/>
          <w:sz w:val="32"/>
          <w:szCs w:val="32"/>
          <w:highlight w:val="none"/>
          <w:u w:val="none" w:color="auto"/>
          <w:lang w:eastAsia="zh-CN"/>
        </w:rPr>
        <w:t>省财政厅</w:t>
      </w:r>
      <w:r>
        <w:rPr>
          <w:rFonts w:hint="eastAsia" w:ascii="仿宋_GB2312" w:hAnsi="仿宋_GB2312" w:eastAsia="仿宋_GB2312" w:cs="仿宋_GB2312"/>
          <w:b w:val="0"/>
          <w:bCs w:val="0"/>
          <w:color w:val="auto"/>
          <w:sz w:val="32"/>
          <w:szCs w:val="32"/>
          <w:highlight w:val="none"/>
          <w:u w:val="none" w:color="auto"/>
          <w:lang w:eastAsia="zh-CN"/>
        </w:rPr>
        <w:t>分别适时组织开展部门评价和财政评价，</w:t>
      </w:r>
      <w:r>
        <w:rPr>
          <w:rFonts w:hint="eastAsia" w:ascii="仿宋_GB2312" w:hAnsi="仿宋_GB2312" w:eastAsia="仿宋_GB2312" w:cs="仿宋_GB2312"/>
          <w:b w:val="0"/>
          <w:bCs w:val="0"/>
          <w:color w:val="auto"/>
          <w:sz w:val="32"/>
          <w:szCs w:val="32"/>
          <w:highlight w:val="none"/>
          <w:u w:val="none" w:color="auto"/>
          <w:lang w:val="en-US" w:eastAsia="zh-CN"/>
        </w:rPr>
        <w:t>评价结果作为资金分配和预算安排的重要依据</w:t>
      </w:r>
      <w:r>
        <w:rPr>
          <w:rFonts w:hint="eastAsia" w:ascii="仿宋_GB2312" w:hAnsi="仿宋_GB2312" w:eastAsia="仿宋_GB2312" w:cs="仿宋_GB2312"/>
          <w:b w:val="0"/>
          <w:bCs w:val="0"/>
          <w:color w:val="auto"/>
          <w:sz w:val="32"/>
          <w:szCs w:val="32"/>
          <w:highlight w:val="none"/>
          <w:u w:val="none" w:color="auto"/>
          <w:lang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Lines="0" w:after="0" w:afterLines="0" w:afterAutospacing="0" w:line="360" w:lineRule="auto"/>
        <w:ind w:firstLine="640" w:firstLineChars="200"/>
        <w:jc w:val="left"/>
        <w:textAlignment w:val="auto"/>
        <w:outlineLvl w:val="9"/>
        <w:rPr>
          <w:rFonts w:hint="eastAsia" w:ascii="Calibri" w:hAnsi="Calibri" w:eastAsia="仿宋_GB2312" w:cs="Times New Roman"/>
          <w:color w:val="auto"/>
          <w:kern w:val="2"/>
          <w:sz w:val="32"/>
          <w:highlight w:val="none"/>
        </w:rPr>
      </w:pPr>
      <w:r>
        <w:rPr>
          <w:rFonts w:hint="eastAsia" w:ascii="黑体" w:hAnsi="黑体" w:eastAsia="黑体" w:cs="黑体"/>
          <w:color w:val="auto"/>
          <w:kern w:val="2"/>
          <w:sz w:val="32"/>
          <w:szCs w:val="24"/>
          <w:highlight w:val="none"/>
          <w:lang w:eastAsia="zh-CN"/>
        </w:rPr>
        <w:t>第二十七条</w:t>
      </w:r>
      <w:r>
        <w:rPr>
          <w:rFonts w:hint="eastAsia" w:ascii="黑体" w:hAnsi="黑体" w:eastAsia="黑体" w:cs="黑体"/>
          <w:color w:val="auto"/>
          <w:kern w:val="2"/>
          <w:sz w:val="32"/>
          <w:szCs w:val="24"/>
          <w:highlight w:val="none"/>
          <w:lang w:val="en-US" w:eastAsia="zh-CN"/>
        </w:rPr>
        <w:t xml:space="preserve"> </w:t>
      </w:r>
      <w:r>
        <w:rPr>
          <w:rFonts w:hint="eastAsia" w:ascii="Calibri" w:hAnsi="Calibri" w:eastAsia="仿宋_GB2312"/>
          <w:color w:val="auto"/>
          <w:sz w:val="32"/>
          <w:szCs w:val="24"/>
          <w:highlight w:val="none"/>
        </w:rPr>
        <w:t>用款单位</w:t>
      </w:r>
      <w:r>
        <w:rPr>
          <w:rFonts w:hint="eastAsia" w:ascii="Calibri" w:hAnsi="Calibri" w:eastAsia="仿宋_GB2312" w:cs="Times New Roman"/>
          <w:color w:val="auto"/>
          <w:kern w:val="2"/>
          <w:sz w:val="32"/>
          <w:highlight w:val="none"/>
        </w:rPr>
        <w:t>应当严格遵守国家和省财政财务制度和财经纪律，</w:t>
      </w:r>
      <w:r>
        <w:rPr>
          <w:rFonts w:hint="eastAsia" w:ascii="Calibri" w:hAnsi="Calibri" w:eastAsia="仿宋_GB2312"/>
          <w:color w:val="auto"/>
          <w:sz w:val="32"/>
          <w:szCs w:val="24"/>
          <w:highlight w:val="none"/>
          <w:lang w:eastAsia="zh-CN"/>
        </w:rPr>
        <w:t>对项目实施和资金使用负责，</w:t>
      </w:r>
      <w:r>
        <w:rPr>
          <w:rFonts w:hint="eastAsia" w:ascii="Calibri" w:hAnsi="Calibri" w:eastAsia="仿宋_GB2312"/>
          <w:color w:val="auto"/>
          <w:sz w:val="32"/>
          <w:szCs w:val="24"/>
          <w:highlight w:val="none"/>
        </w:rPr>
        <w:t>应</w:t>
      </w:r>
      <w:r>
        <w:rPr>
          <w:rFonts w:hint="eastAsia" w:ascii="Calibri" w:hAnsi="Calibri" w:eastAsia="仿宋_GB2312" w:cs="Times New Roman"/>
          <w:color w:val="auto"/>
          <w:kern w:val="2"/>
          <w:sz w:val="32"/>
          <w:highlight w:val="none"/>
        </w:rPr>
        <w:t>建立健全内部管理机制，</w:t>
      </w:r>
      <w:r>
        <w:rPr>
          <w:rFonts w:hint="eastAsia" w:ascii="Calibri" w:hAnsi="Calibri" w:eastAsia="仿宋_GB2312"/>
          <w:color w:val="auto"/>
          <w:sz w:val="32"/>
          <w:szCs w:val="24"/>
          <w:highlight w:val="none"/>
        </w:rPr>
        <w:t>结合实际制定具体的管理</w:t>
      </w:r>
      <w:r>
        <w:rPr>
          <w:rFonts w:hint="eastAsia"/>
          <w:color w:val="auto"/>
          <w:sz w:val="32"/>
          <w:szCs w:val="24"/>
          <w:highlight w:val="none"/>
          <w:lang w:eastAsia="zh-CN"/>
        </w:rPr>
        <w:t>细则</w:t>
      </w:r>
      <w:r>
        <w:rPr>
          <w:rFonts w:hint="eastAsia" w:ascii="Calibri" w:hAnsi="Calibri" w:eastAsia="仿宋_GB2312"/>
          <w:color w:val="auto"/>
          <w:sz w:val="32"/>
          <w:szCs w:val="24"/>
          <w:highlight w:val="none"/>
        </w:rPr>
        <w:t>和制度，</w:t>
      </w:r>
      <w:r>
        <w:rPr>
          <w:rFonts w:hint="eastAsia" w:ascii="Calibri" w:hAnsi="Calibri" w:eastAsia="仿宋_GB2312"/>
          <w:color w:val="auto"/>
          <w:sz w:val="32"/>
          <w:szCs w:val="24"/>
          <w:highlight w:val="none"/>
          <w:lang w:eastAsia="zh-CN"/>
        </w:rPr>
        <w:t>严格执行资金预算，</w:t>
      </w:r>
      <w:r>
        <w:rPr>
          <w:rFonts w:hint="eastAsia" w:ascii="Calibri" w:hAnsi="Calibri" w:eastAsia="仿宋_GB2312" w:cs="Times New Roman"/>
          <w:color w:val="auto"/>
          <w:kern w:val="2"/>
          <w:sz w:val="32"/>
          <w:highlight w:val="none"/>
        </w:rPr>
        <w:t>确保资金使用安全、规范、有效，并自觉接受审计、监察和监督检查。</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Lines="0" w:after="0" w:afterLines="0" w:afterAutospacing="0" w:line="360" w:lineRule="auto"/>
        <w:ind w:firstLine="640" w:firstLineChars="200"/>
        <w:jc w:val="left"/>
        <w:textAlignment w:val="auto"/>
        <w:outlineLvl w:val="9"/>
        <w:rPr>
          <w:rFonts w:hint="eastAsia" w:ascii="Calibri" w:hAnsi="Calibri" w:eastAsia="仿宋_GB2312" w:cs="Times New Roman"/>
          <w:color w:val="auto"/>
          <w:kern w:val="2"/>
          <w:sz w:val="32"/>
          <w:highlight w:val="none"/>
        </w:rPr>
      </w:pPr>
      <w:r>
        <w:rPr>
          <w:rFonts w:hint="eastAsia" w:ascii="黑体" w:hAnsi="黑体" w:eastAsia="黑体" w:cs="黑体"/>
          <w:b w:val="0"/>
          <w:bCs w:val="0"/>
          <w:color w:val="auto"/>
          <w:kern w:val="2"/>
          <w:sz w:val="32"/>
          <w:szCs w:val="24"/>
          <w:highlight w:val="none"/>
        </w:rPr>
        <w:t>第</w:t>
      </w:r>
      <w:r>
        <w:rPr>
          <w:rFonts w:hint="eastAsia" w:ascii="黑体" w:hAnsi="黑体" w:eastAsia="黑体" w:cs="黑体"/>
          <w:b w:val="0"/>
          <w:bCs w:val="0"/>
          <w:color w:val="auto"/>
          <w:kern w:val="2"/>
          <w:sz w:val="32"/>
          <w:szCs w:val="24"/>
          <w:highlight w:val="none"/>
          <w:lang w:eastAsia="zh-CN"/>
        </w:rPr>
        <w:t>二十八</w:t>
      </w:r>
      <w:r>
        <w:rPr>
          <w:rFonts w:hint="eastAsia" w:ascii="黑体" w:hAnsi="黑体" w:eastAsia="黑体" w:cs="黑体"/>
          <w:b w:val="0"/>
          <w:bCs w:val="0"/>
          <w:color w:val="auto"/>
          <w:kern w:val="2"/>
          <w:sz w:val="32"/>
          <w:szCs w:val="24"/>
          <w:highlight w:val="none"/>
        </w:rPr>
        <w:t>条</w:t>
      </w:r>
      <w:r>
        <w:rPr>
          <w:rFonts w:hint="eastAsia" w:ascii="黑体" w:hAnsi="黑体" w:eastAsia="黑体" w:cs="黑体"/>
          <w:b w:val="0"/>
          <w:bCs w:val="0"/>
          <w:color w:val="auto"/>
          <w:kern w:val="2"/>
          <w:sz w:val="32"/>
          <w:szCs w:val="24"/>
          <w:highlight w:val="none"/>
          <w:lang w:val="en-US" w:eastAsia="zh-CN"/>
        </w:rPr>
        <w:t xml:space="preserve"> </w:t>
      </w:r>
      <w:r>
        <w:rPr>
          <w:rFonts w:hint="eastAsia" w:ascii="Calibri" w:hAnsi="Calibri" w:eastAsia="仿宋_GB2312" w:cs="Times New Roman"/>
          <w:color w:val="auto"/>
          <w:kern w:val="2"/>
          <w:sz w:val="32"/>
          <w:highlight w:val="none"/>
        </w:rPr>
        <w:t>实行资金管理责任追究机制。</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Lines="0" w:after="0" w:afterLines="0" w:afterAutospacing="0" w:line="360" w:lineRule="auto"/>
        <w:ind w:firstLine="640" w:firstLineChars="200"/>
        <w:jc w:val="left"/>
        <w:textAlignment w:val="auto"/>
        <w:outlineLvl w:val="9"/>
        <w:rPr>
          <w:rFonts w:hint="eastAsia" w:ascii="Calibri" w:hAnsi="Calibri" w:cs="Times New Roman"/>
          <w:color w:val="auto"/>
          <w:kern w:val="2"/>
          <w:sz w:val="32"/>
          <w:highlight w:val="none"/>
          <w:lang w:val="en-US" w:eastAsia="zh-CN"/>
        </w:rPr>
      </w:pPr>
      <w:r>
        <w:rPr>
          <w:rFonts w:hint="eastAsia" w:cs="Times New Roman"/>
          <w:color w:val="auto"/>
          <w:kern w:val="2"/>
          <w:sz w:val="32"/>
          <w:highlight w:val="none"/>
          <w:lang w:eastAsia="zh-CN"/>
        </w:rPr>
        <w:t>（一）</w:t>
      </w:r>
      <w:r>
        <w:rPr>
          <w:rFonts w:hint="eastAsia" w:ascii="Calibri" w:hAnsi="Calibri" w:eastAsia="仿宋_GB2312" w:cs="Times New Roman"/>
          <w:color w:val="auto"/>
          <w:kern w:val="2"/>
          <w:sz w:val="32"/>
          <w:highlight w:val="none"/>
        </w:rPr>
        <w:t>资金必须专款专用，对违反规定使用、骗取、挪用、挤占、截留资金的行为，以及因管理不善导致资金浪费、资产毁损、效益低下的，将视情节追回、暂停或核减其以后年度预算，并按照《中华人民共和国预算法》《财政违法行为处罚处分条例》等有关规定处理。</w:t>
      </w:r>
      <w:r>
        <w:rPr>
          <w:rFonts w:hint="eastAsia" w:ascii="Calibri" w:hAnsi="Calibri" w:cs="Times New Roman"/>
          <w:color w:val="auto"/>
          <w:kern w:val="2"/>
          <w:sz w:val="32"/>
          <w:highlight w:val="none"/>
          <w:lang w:val="en-US" w:eastAsia="zh-CN"/>
        </w:rPr>
        <w:t xml:space="preserve">  </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Lines="0" w:after="0" w:afterLines="0" w:afterAutospacing="0" w:line="360" w:lineRule="auto"/>
        <w:ind w:firstLine="640" w:firstLineChars="200"/>
        <w:jc w:val="left"/>
        <w:textAlignment w:val="auto"/>
        <w:outlineLvl w:val="9"/>
        <w:rPr>
          <w:rFonts w:hint="eastAsia" w:ascii="Calibri" w:hAnsi="Calibri" w:eastAsia="仿宋_GB2312" w:cs="Times New Roman"/>
          <w:color w:val="auto"/>
          <w:kern w:val="2"/>
          <w:sz w:val="32"/>
          <w:highlight w:val="none"/>
        </w:rPr>
      </w:pPr>
      <w:r>
        <w:rPr>
          <w:rFonts w:hint="eastAsia" w:cs="Times New Roman"/>
          <w:color w:val="auto"/>
          <w:kern w:val="2"/>
          <w:sz w:val="32"/>
          <w:highlight w:val="none"/>
          <w:lang w:val="en-US" w:eastAsia="zh-CN"/>
        </w:rPr>
        <w:t>（二）</w:t>
      </w:r>
      <w:r>
        <w:rPr>
          <w:rFonts w:hint="eastAsia" w:ascii="Calibri" w:hAnsi="Calibri" w:eastAsia="仿宋_GB2312" w:cs="Times New Roman"/>
          <w:color w:val="auto"/>
          <w:kern w:val="2"/>
          <w:sz w:val="32"/>
          <w:highlight w:val="none"/>
        </w:rPr>
        <w:t>在资金分配、审批等过程中，存在违反规定分配资金以及滥用职权、玩忽职守、徇私舞弊等行为的，按照《中华人民共和国预算法》《中华人民共和国监察法》等国家有关规定追究相应责任；涉嫌犯罪的，移送司法机关处理。</w:t>
      </w:r>
    </w:p>
    <w:p>
      <w:pPr>
        <w:keepNext w:val="0"/>
        <w:keepLines w:val="0"/>
        <w:pageBreakBefore w:val="0"/>
        <w:widowControl w:val="0"/>
        <w:kinsoku/>
        <w:wordWrap/>
        <w:overflowPunct/>
        <w:topLinePunct w:val="0"/>
        <w:autoSpaceDE/>
        <w:autoSpaceDN/>
        <w:bidi w:val="0"/>
        <w:adjustRightInd w:val="0"/>
        <w:snapToGrid w:val="0"/>
        <w:spacing w:beforeLines="0" w:after="0" w:afterLines="0" w:afterAutospacing="0" w:line="360" w:lineRule="auto"/>
        <w:jc w:val="both"/>
        <w:textAlignment w:val="auto"/>
        <w:rPr>
          <w:rFonts w:hint="eastAsia" w:ascii="Calibri" w:eastAsia="仿宋_GB2312" w:cs="Times New Roman"/>
          <w:color w:val="auto"/>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Lines="0" w:after="0" w:afterLines="0" w:afterAutospacing="0" w:line="360" w:lineRule="auto"/>
        <w:jc w:val="center"/>
        <w:textAlignment w:val="auto"/>
        <w:rPr>
          <w:rFonts w:hint="eastAsia" w:ascii="黑体" w:hAnsi="黑体" w:eastAsia="黑体" w:cs="黑体"/>
          <w:color w:val="auto"/>
          <w:highlight w:val="none"/>
          <w:lang w:val="en-US" w:eastAsia="zh-CN" w:bidi="ar-SA"/>
        </w:rPr>
      </w:pPr>
      <w:r>
        <w:rPr>
          <w:rFonts w:hint="eastAsia" w:ascii="黑体" w:hAnsi="黑体" w:eastAsia="黑体" w:cs="黑体"/>
          <w:color w:val="auto"/>
          <w:highlight w:val="none"/>
          <w:lang w:val="en-US" w:eastAsia="zh-CN" w:bidi="ar-SA"/>
        </w:rPr>
        <w:t>第六章  信息公开</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Lines="0" w:after="0" w:afterLines="0" w:afterAutospacing="0" w:line="360" w:lineRule="auto"/>
        <w:ind w:left="0" w:firstLine="640" w:firstLineChars="200"/>
        <w:textAlignment w:val="auto"/>
        <w:outlineLvl w:val="9"/>
        <w:rPr>
          <w:rFonts w:hint="eastAsia" w:ascii="仿宋_GB2312" w:hAnsi="仿宋_GB2312" w:eastAsia="仿宋_GB2312" w:cs="仿宋_GB2312"/>
          <w:color w:val="auto"/>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第二十九条</w:t>
      </w:r>
      <w:r>
        <w:rPr>
          <w:rFonts w:hint="eastAsia" w:ascii="仿宋_GB2312" w:hAnsi="仿宋_GB2312" w:eastAsia="仿宋_GB2312" w:cs="仿宋_GB2312"/>
          <w:color w:val="auto"/>
          <w:szCs w:val="32"/>
          <w:highlight w:val="none"/>
          <w:lang w:val="en-US" w:eastAsia="zh-CN" w:bidi="ar-SA"/>
        </w:rPr>
        <w:t xml:space="preserve"> 除涉及保密要求或重大敏感事项不予公开的</w:t>
      </w:r>
      <w:r>
        <w:rPr>
          <w:rFonts w:hint="eastAsia" w:ascii="仿宋_GB2312" w:hAnsi="仿宋_GB2312" w:cs="仿宋_GB2312"/>
          <w:color w:val="auto"/>
          <w:szCs w:val="32"/>
          <w:highlight w:val="none"/>
          <w:lang w:val="en-US" w:eastAsia="zh-CN" w:bidi="ar-SA"/>
        </w:rPr>
        <w:t>资金信息</w:t>
      </w:r>
      <w:r>
        <w:rPr>
          <w:rFonts w:hint="eastAsia" w:ascii="仿宋_GB2312" w:hAnsi="仿宋_GB2312" w:eastAsia="仿宋_GB2312" w:cs="仿宋_GB2312"/>
          <w:color w:val="auto"/>
          <w:szCs w:val="32"/>
          <w:highlight w:val="none"/>
          <w:lang w:val="en-US" w:eastAsia="zh-CN" w:bidi="ar-SA"/>
        </w:rPr>
        <w:t>外，资金</w:t>
      </w:r>
      <w:r>
        <w:rPr>
          <w:rFonts w:hint="eastAsia" w:ascii="仿宋_GB2312" w:hAnsi="仿宋_GB2312" w:cs="仿宋_GB2312"/>
          <w:color w:val="auto"/>
          <w:szCs w:val="32"/>
          <w:highlight w:val="none"/>
          <w:lang w:val="en-US" w:eastAsia="zh-CN" w:bidi="ar-SA"/>
        </w:rPr>
        <w:t>的</w:t>
      </w:r>
      <w:r>
        <w:rPr>
          <w:rFonts w:hint="eastAsia" w:ascii="仿宋_GB2312" w:hAnsi="仿宋_GB2312" w:eastAsia="仿宋_GB2312" w:cs="仿宋_GB2312"/>
          <w:color w:val="auto"/>
          <w:szCs w:val="32"/>
          <w:highlight w:val="none"/>
          <w:lang w:val="en-US" w:eastAsia="zh-CN" w:bidi="ar-SA"/>
        </w:rPr>
        <w:t>分配、执行和结果等全过程信息按照“谁制定、谁分配、谁使用、谁公开”的原则</w:t>
      </w:r>
      <w:r>
        <w:rPr>
          <w:rFonts w:hint="eastAsia" w:ascii="仿宋_GB2312" w:hAnsi="仿宋_GB2312" w:cs="仿宋_GB2312"/>
          <w:color w:val="auto"/>
          <w:szCs w:val="32"/>
          <w:highlight w:val="none"/>
          <w:lang w:val="en-US" w:eastAsia="zh-CN" w:bidi="ar-SA"/>
        </w:rPr>
        <w:t>向社会</w:t>
      </w:r>
      <w:r>
        <w:rPr>
          <w:rFonts w:hint="eastAsia" w:ascii="仿宋_GB2312" w:hAnsi="仿宋_GB2312" w:eastAsia="仿宋_GB2312" w:cs="仿宋_GB2312"/>
          <w:color w:val="auto"/>
          <w:szCs w:val="32"/>
          <w:highlight w:val="none"/>
          <w:lang w:val="en-US" w:eastAsia="zh-CN" w:bidi="ar-SA"/>
        </w:rPr>
        <w:t>公开。主要内容包括：</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Lines="0" w:afterLines="0" w:line="360" w:lineRule="auto"/>
        <w:ind w:left="0" w:firstLine="640" w:firstLineChars="200"/>
        <w:textAlignment w:val="auto"/>
        <w:outlineLvl w:val="9"/>
        <w:rPr>
          <w:rFonts w:hint="eastAsia" w:ascii="仿宋_GB2312" w:hAnsi="仿宋_GB2312" w:eastAsia="仿宋_GB2312" w:cs="仿宋_GB2312"/>
          <w:color w:val="auto"/>
          <w:szCs w:val="32"/>
          <w:highlight w:val="none"/>
          <w:lang w:val="en-US" w:eastAsia="zh-CN" w:bidi="ar-SA"/>
        </w:rPr>
      </w:pPr>
      <w:r>
        <w:rPr>
          <w:rFonts w:hint="eastAsia" w:ascii="仿宋_GB2312" w:hAnsi="仿宋_GB2312" w:cs="仿宋_GB2312"/>
          <w:color w:val="auto"/>
          <w:szCs w:val="32"/>
          <w:highlight w:val="none"/>
          <w:lang w:val="en-US" w:eastAsia="zh-CN" w:bidi="ar-SA"/>
        </w:rPr>
        <w:t>（一）</w:t>
      </w:r>
      <w:r>
        <w:rPr>
          <w:rFonts w:hint="eastAsia" w:ascii="仿宋_GB2312" w:hAnsi="仿宋_GB2312" w:eastAsia="仿宋_GB2312" w:cs="仿宋_GB2312"/>
          <w:color w:val="auto"/>
          <w:szCs w:val="32"/>
          <w:highlight w:val="none"/>
          <w:lang w:val="en-US" w:eastAsia="zh-CN" w:bidi="ar-SA"/>
        </w:rPr>
        <w:t>专项资金目录清单。</w:t>
      </w:r>
    </w:p>
    <w:p>
      <w:pPr>
        <w:pStyle w:val="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Lines="0" w:afterLines="0" w:line="360" w:lineRule="auto"/>
        <w:ind w:left="0" w:leftChars="0" w:firstLine="640" w:firstLineChars="200"/>
        <w:textAlignment w:val="auto"/>
        <w:outlineLvl w:val="9"/>
        <w:rPr>
          <w:rFonts w:hint="eastAsia" w:ascii="仿宋_GB2312" w:eastAsia="仿宋_GB2312" w:cs="仿宋_GB2312"/>
          <w:color w:val="auto"/>
          <w:highlight w:val="none"/>
          <w:lang w:val="en-US" w:eastAsia="zh-CN" w:bidi="ar-SA"/>
        </w:rPr>
      </w:pPr>
      <w:r>
        <w:rPr>
          <w:rFonts w:hint="eastAsia" w:ascii="仿宋_GB2312" w:cs="仿宋_GB2312"/>
          <w:color w:val="auto"/>
          <w:highlight w:val="none"/>
          <w:lang w:val="en-US" w:eastAsia="zh-CN" w:bidi="ar-SA"/>
        </w:rPr>
        <w:t>（二）</w:t>
      </w:r>
      <w:r>
        <w:rPr>
          <w:rFonts w:hint="eastAsia" w:ascii="仿宋_GB2312" w:eastAsia="仿宋_GB2312" w:cs="仿宋_GB2312"/>
          <w:color w:val="auto"/>
          <w:highlight w:val="none"/>
          <w:lang w:val="en-US" w:eastAsia="zh-CN" w:bidi="ar-SA"/>
        </w:rPr>
        <w:t>专项资金管理办法。</w:t>
      </w:r>
    </w:p>
    <w:p>
      <w:pPr>
        <w:pStyle w:val="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Lines="0" w:afterLines="0" w:line="360" w:lineRule="auto"/>
        <w:ind w:left="0" w:leftChars="0" w:firstLine="640" w:firstLineChars="200"/>
        <w:textAlignment w:val="auto"/>
        <w:outlineLvl w:val="9"/>
        <w:rPr>
          <w:rFonts w:hint="eastAsia" w:ascii="仿宋_GB2312" w:cs="仿宋_GB2312"/>
          <w:color w:val="auto"/>
          <w:highlight w:val="none"/>
          <w:lang w:val="en-US" w:eastAsia="zh-CN" w:bidi="ar-SA"/>
        </w:rPr>
      </w:pPr>
      <w:r>
        <w:rPr>
          <w:rFonts w:hint="eastAsia" w:ascii="仿宋_GB2312" w:cs="仿宋_GB2312"/>
          <w:color w:val="auto"/>
          <w:highlight w:val="none"/>
          <w:lang w:val="en-US" w:eastAsia="zh-CN" w:bidi="ar-SA"/>
        </w:rPr>
        <w:t>（三）专项资金申报通知（申报指南）。</w:t>
      </w:r>
    </w:p>
    <w:p>
      <w:pPr>
        <w:pStyle w:val="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Lines="0" w:afterLines="0" w:line="360" w:lineRule="auto"/>
        <w:ind w:left="0" w:leftChars="0" w:firstLine="640" w:firstLineChars="200"/>
        <w:textAlignment w:val="auto"/>
        <w:outlineLvl w:val="9"/>
        <w:rPr>
          <w:rFonts w:hint="eastAsia" w:ascii="仿宋_GB2312" w:eastAsia="仿宋_GB2312" w:cs="仿宋_GB2312"/>
          <w:color w:val="auto"/>
          <w:highlight w:val="none"/>
          <w:lang w:val="en-US" w:eastAsia="zh-CN" w:bidi="ar-SA"/>
        </w:rPr>
      </w:pPr>
      <w:r>
        <w:rPr>
          <w:rFonts w:hint="eastAsia" w:ascii="仿宋_GB2312" w:cs="仿宋_GB2312"/>
          <w:color w:val="auto"/>
          <w:highlight w:val="none"/>
          <w:lang w:val="en-US" w:eastAsia="zh-CN" w:bidi="ar-SA"/>
        </w:rPr>
        <w:t>（四）</w:t>
      </w:r>
      <w:r>
        <w:rPr>
          <w:rFonts w:hint="eastAsia" w:ascii="仿宋_GB2312" w:eastAsia="仿宋_GB2312" w:cs="仿宋_GB2312"/>
          <w:color w:val="auto"/>
          <w:highlight w:val="none"/>
          <w:lang w:val="en-US" w:eastAsia="zh-CN" w:bidi="ar-SA"/>
        </w:rPr>
        <w:t>项目计划情况，包括申报单位、申请金额、安排金额、绩效目标、项目立项储备等。</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Lines="0" w:afterLines="0" w:line="360" w:lineRule="auto"/>
        <w:ind w:left="0" w:leftChars="0" w:firstLine="640" w:firstLineChars="200"/>
        <w:textAlignment w:val="auto"/>
        <w:outlineLvl w:val="9"/>
        <w:rPr>
          <w:rFonts w:hint="eastAsia" w:ascii="仿宋_GB2312" w:eastAsia="仿宋_GB2312" w:cs="仿宋_GB2312"/>
          <w:color w:val="auto"/>
          <w:highlight w:val="none"/>
          <w:lang w:val="en-US" w:eastAsia="zh-CN" w:bidi="ar-SA"/>
        </w:rPr>
      </w:pPr>
      <w:r>
        <w:rPr>
          <w:rFonts w:hint="eastAsia" w:ascii="仿宋_GB2312" w:cs="仿宋_GB2312"/>
          <w:color w:val="auto"/>
          <w:highlight w:val="none"/>
          <w:lang w:val="en-US" w:eastAsia="zh-CN" w:bidi="ar-SA"/>
        </w:rPr>
        <w:t>（五）专项</w:t>
      </w:r>
      <w:r>
        <w:rPr>
          <w:rFonts w:hint="eastAsia" w:ascii="仿宋_GB2312" w:eastAsia="仿宋_GB2312" w:cs="仿宋_GB2312"/>
          <w:color w:val="auto"/>
          <w:highlight w:val="none"/>
          <w:lang w:val="en-US" w:eastAsia="zh-CN" w:bidi="ar-SA"/>
        </w:rPr>
        <w:t>资金</w:t>
      </w:r>
      <w:r>
        <w:rPr>
          <w:rFonts w:hint="eastAsia" w:ascii="仿宋_GB2312" w:cs="仿宋_GB2312"/>
          <w:color w:val="auto"/>
          <w:highlight w:val="none"/>
          <w:lang w:val="en-US" w:eastAsia="zh-CN" w:bidi="ar-SA"/>
        </w:rPr>
        <w:t>分配方案，包括资金</w:t>
      </w:r>
      <w:r>
        <w:rPr>
          <w:rFonts w:hint="eastAsia" w:ascii="仿宋_GB2312" w:eastAsia="仿宋_GB2312" w:cs="仿宋_GB2312"/>
          <w:color w:val="auto"/>
          <w:highlight w:val="none"/>
          <w:lang w:val="en-US" w:eastAsia="zh-CN" w:bidi="ar-SA"/>
        </w:rPr>
        <w:t>分配方式</w:t>
      </w:r>
      <w:r>
        <w:rPr>
          <w:rFonts w:hint="eastAsia" w:ascii="仿宋_GB2312" w:cs="仿宋_GB2312"/>
          <w:color w:val="auto"/>
          <w:highlight w:val="none"/>
          <w:lang w:val="en-US" w:eastAsia="zh-CN" w:bidi="ar-SA"/>
        </w:rPr>
        <w:t>、程序</w:t>
      </w:r>
      <w:r>
        <w:rPr>
          <w:rFonts w:hint="eastAsia" w:ascii="仿宋_GB2312" w:eastAsia="仿宋_GB2312" w:cs="仿宋_GB2312"/>
          <w:color w:val="auto"/>
          <w:highlight w:val="none"/>
          <w:lang w:val="en-US" w:eastAsia="zh-CN" w:bidi="ar-SA"/>
        </w:rPr>
        <w:t>和结果等。</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Lines="0" w:afterLines="0" w:line="360" w:lineRule="auto"/>
        <w:ind w:left="0" w:leftChars="0" w:firstLine="640" w:firstLineChars="200"/>
        <w:textAlignment w:val="auto"/>
        <w:outlineLvl w:val="9"/>
        <w:rPr>
          <w:rFonts w:hint="eastAsia" w:ascii="仿宋_GB2312" w:eastAsia="仿宋_GB2312" w:cs="仿宋_GB2312"/>
          <w:color w:val="auto"/>
          <w:highlight w:val="none"/>
          <w:lang w:val="en-US" w:eastAsia="zh-CN" w:bidi="ar-SA"/>
        </w:rPr>
      </w:pPr>
      <w:r>
        <w:rPr>
          <w:rFonts w:hint="eastAsia" w:ascii="仿宋_GB2312" w:cs="仿宋_GB2312"/>
          <w:color w:val="auto"/>
          <w:highlight w:val="none"/>
          <w:lang w:val="en-US" w:eastAsia="zh-CN" w:bidi="ar-SA"/>
        </w:rPr>
        <w:t>（六）</w:t>
      </w:r>
      <w:r>
        <w:rPr>
          <w:rFonts w:hint="eastAsia" w:ascii="仿宋_GB2312" w:eastAsia="仿宋_GB2312" w:cs="仿宋_GB2312"/>
          <w:color w:val="auto"/>
          <w:highlight w:val="none"/>
          <w:lang w:val="en-US" w:eastAsia="zh-CN" w:bidi="ar-SA"/>
        </w:rPr>
        <w:t>专项资金绩效评价、监督检查和审计结果，包括项目财务决算报告、项目验收考评情况、绩效自评报告和财政部门反馈的重点评价报告、财政财务监督检查报告、审计结果等。</w:t>
      </w:r>
    </w:p>
    <w:p>
      <w:pPr>
        <w:pStyle w:val="5"/>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Lines="0" w:afterLines="0" w:line="360" w:lineRule="auto"/>
        <w:ind w:left="0" w:leftChars="0" w:firstLine="640" w:firstLineChars="200"/>
        <w:textAlignment w:val="auto"/>
        <w:outlineLvl w:val="9"/>
        <w:rPr>
          <w:rFonts w:hint="eastAsia" w:ascii="仿宋_GB2312" w:eastAsia="仿宋_GB2312" w:cs="仿宋_GB2312"/>
          <w:color w:val="auto"/>
          <w:highlight w:val="none"/>
          <w:lang w:val="en-US" w:eastAsia="zh-CN" w:bidi="ar-SA"/>
        </w:rPr>
      </w:pPr>
      <w:r>
        <w:rPr>
          <w:rFonts w:hint="eastAsia" w:ascii="仿宋_GB2312" w:cs="仿宋_GB2312"/>
          <w:color w:val="auto"/>
          <w:highlight w:val="none"/>
          <w:lang w:val="en-US" w:eastAsia="zh-CN" w:bidi="ar-SA"/>
        </w:rPr>
        <w:t>（七）</w:t>
      </w:r>
      <w:r>
        <w:rPr>
          <w:rFonts w:hint="eastAsia" w:ascii="仿宋_GB2312" w:eastAsia="仿宋_GB2312" w:cs="仿宋_GB2312"/>
          <w:color w:val="auto"/>
          <w:highlight w:val="none"/>
          <w:lang w:val="en-US" w:eastAsia="zh-CN" w:bidi="ar-SA"/>
        </w:rPr>
        <w:t>公开接受和处理投诉情况，包括投诉事项和投诉处理情况以及其他按规定应公开的内容。</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360" w:lineRule="auto"/>
        <w:ind w:left="0" w:firstLine="640" w:firstLineChars="200"/>
        <w:textAlignment w:val="auto"/>
        <w:outlineLvl w:val="9"/>
        <w:rPr>
          <w:rFonts w:hint="eastAsia" w:ascii="仿宋_GB2312" w:hAnsi="仿宋_GB2312" w:eastAsia="仿宋_GB2312" w:cs="仿宋_GB2312"/>
          <w:color w:val="auto"/>
          <w:szCs w:val="32"/>
          <w:highlight w:val="none"/>
          <w:lang w:val="en-US" w:eastAsia="zh-CN" w:bidi="ar-SA"/>
        </w:rPr>
      </w:pPr>
      <w:r>
        <w:rPr>
          <w:rFonts w:hint="eastAsia" w:ascii="黑体" w:hAnsi="黑体" w:eastAsia="黑体" w:cs="黑体"/>
          <w:color w:val="auto"/>
          <w:szCs w:val="32"/>
          <w:highlight w:val="none"/>
          <w:lang w:val="en-US" w:eastAsia="zh-CN" w:bidi="ar-SA"/>
        </w:rPr>
        <w:t>第三十条</w:t>
      </w:r>
      <w:r>
        <w:rPr>
          <w:rFonts w:hint="eastAsia" w:ascii="仿宋_GB2312" w:hAnsi="仿宋_GB2312" w:eastAsia="仿宋_GB2312" w:cs="仿宋_GB2312"/>
          <w:color w:val="auto"/>
          <w:szCs w:val="32"/>
          <w:highlight w:val="none"/>
          <w:lang w:val="en-US" w:eastAsia="zh-CN" w:bidi="ar-SA"/>
        </w:rPr>
        <w:t xml:space="preserve"> </w:t>
      </w:r>
      <w:r>
        <w:rPr>
          <w:rFonts w:hint="eastAsia" w:ascii="仿宋_GB2312" w:hAnsi="仿宋_GB2312" w:cs="仿宋_GB2312"/>
          <w:color w:val="auto"/>
          <w:szCs w:val="32"/>
          <w:highlight w:val="none"/>
          <w:lang w:val="en-US" w:eastAsia="zh-CN" w:bidi="ar-SA"/>
        </w:rPr>
        <w:t>省教育厅</w:t>
      </w:r>
      <w:r>
        <w:rPr>
          <w:rFonts w:hint="eastAsia" w:ascii="仿宋_GB2312" w:hAnsi="仿宋_GB2312" w:eastAsia="仿宋_GB2312" w:cs="仿宋_GB2312"/>
          <w:color w:val="auto"/>
          <w:szCs w:val="32"/>
          <w:highlight w:val="none"/>
          <w:lang w:val="en-US" w:eastAsia="zh-CN" w:bidi="ar-SA"/>
        </w:rPr>
        <w:t>应在相关信息审批生效后20日内，通过</w:t>
      </w:r>
      <w:r>
        <w:rPr>
          <w:rFonts w:hint="eastAsia" w:ascii="仿宋_GB2312" w:hAnsi="仿宋_GB2312" w:eastAsia="仿宋_GB2312" w:cs="仿宋_GB2312"/>
          <w:color w:val="auto"/>
          <w:szCs w:val="32"/>
          <w:highlight w:val="none"/>
          <w:u w:val="none"/>
          <w:lang w:val="en-US" w:eastAsia="zh-CN" w:bidi="ar-SA"/>
        </w:rPr>
        <w:t>本部门门户网站</w:t>
      </w:r>
      <w:r>
        <w:rPr>
          <w:rFonts w:hint="eastAsia" w:ascii="仿宋_GB2312" w:hAnsi="仿宋_GB2312" w:cs="仿宋_GB2312"/>
          <w:color w:val="auto"/>
          <w:szCs w:val="32"/>
          <w:highlight w:val="none"/>
          <w:u w:val="none"/>
          <w:lang w:val="en-US" w:eastAsia="zh-CN" w:bidi="ar-SA"/>
        </w:rPr>
        <w:t>或相关信息系统等载体</w:t>
      </w:r>
      <w:r>
        <w:rPr>
          <w:rFonts w:hint="eastAsia" w:ascii="仿宋_GB2312" w:hAnsi="仿宋_GB2312" w:eastAsia="仿宋_GB2312" w:cs="仿宋_GB2312"/>
          <w:color w:val="auto"/>
          <w:szCs w:val="32"/>
          <w:highlight w:val="none"/>
          <w:lang w:val="en-US" w:eastAsia="zh-CN" w:bidi="ar-SA"/>
        </w:rPr>
        <w:t>向社会公开</w:t>
      </w:r>
      <w:r>
        <w:rPr>
          <w:rFonts w:hint="eastAsia" w:ascii="仿宋_GB2312" w:hAnsi="仿宋_GB2312" w:cs="仿宋_GB2312"/>
          <w:color w:val="auto"/>
          <w:szCs w:val="32"/>
          <w:highlight w:val="none"/>
          <w:lang w:val="en-US" w:eastAsia="zh-CN" w:bidi="ar-SA"/>
        </w:rPr>
        <w:t>相关信息</w:t>
      </w:r>
      <w:r>
        <w:rPr>
          <w:rFonts w:hint="eastAsia" w:ascii="仿宋_GB2312" w:hAnsi="仿宋_GB2312" w:eastAsia="仿宋_GB2312" w:cs="仿宋_GB2312"/>
          <w:color w:val="auto"/>
          <w:szCs w:val="32"/>
          <w:highlight w:val="none"/>
          <w:lang w:val="en-US" w:eastAsia="zh-CN" w:bidi="ar-SA"/>
        </w:rPr>
        <w:t>。</w:t>
      </w:r>
      <w:r>
        <w:rPr>
          <w:rFonts w:hint="eastAsia" w:ascii="仿宋_GB2312" w:hAnsi="仿宋_GB2312" w:eastAsia="仿宋_GB2312" w:cs="仿宋_GB2312"/>
          <w:b w:val="0"/>
          <w:bCs w:val="0"/>
          <w:color w:val="auto"/>
          <w:sz w:val="32"/>
          <w:szCs w:val="32"/>
          <w:highlight w:val="none"/>
          <w:u w:val="none" w:color="auto"/>
          <w:lang w:val="en-US" w:eastAsia="zh-CN"/>
        </w:rPr>
        <w:t>市县</w:t>
      </w:r>
      <w:r>
        <w:rPr>
          <w:rFonts w:hint="eastAsia" w:ascii="仿宋_GB2312" w:hAnsi="仿宋_GB2312" w:cs="仿宋_GB2312"/>
          <w:b w:val="0"/>
          <w:bCs w:val="0"/>
          <w:color w:val="auto"/>
          <w:sz w:val="32"/>
          <w:szCs w:val="32"/>
          <w:highlight w:val="none"/>
          <w:u w:val="none" w:color="auto"/>
          <w:lang w:val="en-US" w:eastAsia="zh-CN"/>
        </w:rPr>
        <w:t>教育</w:t>
      </w:r>
      <w:r>
        <w:rPr>
          <w:rFonts w:hint="eastAsia" w:ascii="仿宋_GB2312" w:hAnsi="仿宋_GB2312" w:eastAsia="仿宋_GB2312" w:cs="仿宋_GB2312"/>
          <w:b w:val="0"/>
          <w:bCs w:val="0"/>
          <w:color w:val="auto"/>
          <w:sz w:val="32"/>
          <w:szCs w:val="32"/>
          <w:highlight w:val="none"/>
          <w:u w:val="none" w:color="auto"/>
          <w:lang w:val="en-US" w:eastAsia="zh-CN"/>
        </w:rPr>
        <w:t>主管部门、用款单位应参照省级做法，通过本部门或本级政府、上级主管部门门户网站及其他信息载体进行公开。</w:t>
      </w:r>
    </w:p>
    <w:p>
      <w:pPr>
        <w:keepNext w:val="0"/>
        <w:keepLines w:val="0"/>
        <w:pageBreakBefore w:val="0"/>
        <w:widowControl w:val="0"/>
        <w:kinsoku/>
        <w:wordWrap/>
        <w:overflowPunct/>
        <w:topLinePunct w:val="0"/>
        <w:autoSpaceDE/>
        <w:autoSpaceDN/>
        <w:bidi w:val="0"/>
        <w:adjustRightInd w:val="0"/>
        <w:snapToGrid w:val="0"/>
        <w:spacing w:beforeLines="0" w:after="0" w:afterLines="0" w:afterAutospacing="0" w:line="360" w:lineRule="auto"/>
        <w:jc w:val="both"/>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Lines="0" w:after="0" w:afterLines="0" w:afterAutospacing="0" w:line="360" w:lineRule="auto"/>
        <w:ind w:firstLine="0" w:firstLineChars="0"/>
        <w:jc w:val="center"/>
        <w:textAlignment w:val="auto"/>
        <w:rPr>
          <w:rFonts w:hint="eastAsia" w:ascii="黑体" w:hAnsi="黑体" w:eastAsia="黑体" w:cs="黑体"/>
          <w:color w:val="auto"/>
          <w:kern w:val="2"/>
          <w:sz w:val="32"/>
          <w:szCs w:val="24"/>
          <w:highlight w:val="none"/>
        </w:rPr>
      </w:pPr>
      <w:r>
        <w:rPr>
          <w:rFonts w:hint="eastAsia" w:ascii="黑体" w:hAnsi="黑体" w:eastAsia="黑体" w:cs="黑体"/>
          <w:color w:val="auto"/>
          <w:sz w:val="32"/>
          <w:szCs w:val="24"/>
          <w:highlight w:val="none"/>
        </w:rPr>
        <w:t>第</w:t>
      </w:r>
      <w:r>
        <w:rPr>
          <w:rFonts w:hint="eastAsia" w:ascii="黑体" w:hAnsi="黑体" w:eastAsia="黑体" w:cs="黑体"/>
          <w:color w:val="auto"/>
          <w:sz w:val="32"/>
          <w:szCs w:val="24"/>
          <w:highlight w:val="none"/>
          <w:lang w:eastAsia="zh-CN"/>
        </w:rPr>
        <w:t>七</w:t>
      </w:r>
      <w:r>
        <w:rPr>
          <w:rFonts w:hint="eastAsia" w:ascii="黑体" w:hAnsi="黑体" w:eastAsia="黑体" w:cs="黑体"/>
          <w:color w:val="auto"/>
          <w:sz w:val="32"/>
          <w:szCs w:val="24"/>
          <w:highlight w:val="none"/>
        </w:rPr>
        <w:t>章</w:t>
      </w:r>
      <w:r>
        <w:rPr>
          <w:rFonts w:hint="eastAsia" w:ascii="黑体" w:hAnsi="黑体" w:eastAsia="黑体" w:cs="黑体"/>
          <w:color w:val="auto"/>
          <w:sz w:val="32"/>
          <w:szCs w:val="24"/>
          <w:highlight w:val="none"/>
          <w:lang w:val="en-US" w:eastAsia="zh-CN"/>
        </w:rPr>
        <w:t xml:space="preserve">  </w:t>
      </w:r>
      <w:r>
        <w:rPr>
          <w:rFonts w:hint="eastAsia" w:ascii="黑体" w:hAnsi="黑体" w:eastAsia="黑体" w:cs="黑体"/>
          <w:color w:val="auto"/>
          <w:sz w:val="32"/>
          <w:szCs w:val="24"/>
          <w:highlight w:val="none"/>
        </w:rPr>
        <w:t>附则</w:t>
      </w:r>
    </w:p>
    <w:p>
      <w:pPr>
        <w:keepNext w:val="0"/>
        <w:keepLines w:val="0"/>
        <w:pageBreakBefore w:val="0"/>
        <w:widowControl w:val="0"/>
        <w:kinsoku/>
        <w:wordWrap/>
        <w:overflowPunct/>
        <w:topLinePunct w:val="0"/>
        <w:autoSpaceDE/>
        <w:autoSpaceDN/>
        <w:bidi w:val="0"/>
        <w:adjustRightInd w:val="0"/>
        <w:snapToGrid w:val="0"/>
        <w:spacing w:beforeLines="0" w:after="0" w:afterLines="0" w:afterAutospacing="0" w:line="360" w:lineRule="auto"/>
        <w:ind w:firstLine="640" w:firstLineChars="200"/>
        <w:textAlignment w:val="auto"/>
        <w:rPr>
          <w:rFonts w:hint="eastAsia" w:ascii="Calibri" w:hAnsi="Calibri" w:eastAsia="仿宋_GB2312"/>
          <w:color w:val="auto"/>
          <w:sz w:val="32"/>
          <w:szCs w:val="32"/>
          <w:highlight w:val="none"/>
        </w:rPr>
      </w:pPr>
      <w:r>
        <w:rPr>
          <w:rFonts w:hint="eastAsia" w:ascii="黑体" w:hAnsi="黑体" w:eastAsia="黑体" w:cs="黑体"/>
          <w:color w:val="auto"/>
          <w:kern w:val="2"/>
          <w:sz w:val="32"/>
          <w:szCs w:val="32"/>
          <w:highlight w:val="none"/>
        </w:rPr>
        <w:t>第</w:t>
      </w:r>
      <w:r>
        <w:rPr>
          <w:rFonts w:hint="eastAsia" w:ascii="黑体" w:hAnsi="黑体" w:eastAsia="黑体" w:cs="黑体"/>
          <w:color w:val="auto"/>
          <w:kern w:val="2"/>
          <w:sz w:val="32"/>
          <w:szCs w:val="32"/>
          <w:highlight w:val="none"/>
          <w:lang w:eastAsia="zh-CN"/>
        </w:rPr>
        <w:t>三十一</w:t>
      </w:r>
      <w:r>
        <w:rPr>
          <w:rFonts w:hint="eastAsia" w:ascii="黑体" w:hAnsi="黑体" w:eastAsia="黑体" w:cs="黑体"/>
          <w:color w:val="auto"/>
          <w:kern w:val="2"/>
          <w:sz w:val="32"/>
          <w:szCs w:val="32"/>
          <w:highlight w:val="none"/>
        </w:rPr>
        <w:t>条</w:t>
      </w:r>
      <w:r>
        <w:rPr>
          <w:rFonts w:hint="eastAsia" w:ascii="黑体" w:hAnsi="黑体" w:eastAsia="黑体" w:cs="黑体"/>
          <w:color w:val="auto"/>
          <w:kern w:val="2"/>
          <w:sz w:val="32"/>
          <w:szCs w:val="32"/>
          <w:highlight w:val="none"/>
          <w:lang w:val="en-US" w:eastAsia="zh-CN"/>
        </w:rPr>
        <w:t xml:space="preserve"> </w:t>
      </w:r>
      <w:r>
        <w:rPr>
          <w:rFonts w:hint="eastAsia" w:ascii="Calibri" w:hAnsi="Calibri" w:eastAsia="仿宋_GB2312"/>
          <w:color w:val="auto"/>
          <w:sz w:val="32"/>
          <w:szCs w:val="32"/>
          <w:highlight w:val="none"/>
        </w:rPr>
        <w:t>本办法由省财政厅、省教育厅负责解释。</w:t>
      </w:r>
    </w:p>
    <w:p>
      <w:pPr>
        <w:keepNext w:val="0"/>
        <w:keepLines w:val="0"/>
        <w:pageBreakBefore w:val="0"/>
        <w:widowControl w:val="0"/>
        <w:kinsoku/>
        <w:wordWrap/>
        <w:overflowPunct/>
        <w:topLinePunct w:val="0"/>
        <w:autoSpaceDE/>
        <w:autoSpaceDN/>
        <w:bidi w:val="0"/>
        <w:adjustRightInd w:val="0"/>
        <w:snapToGrid w:val="0"/>
        <w:spacing w:beforeLines="0" w:after="0" w:afterLines="0" w:afterAutospacing="0" w:line="360" w:lineRule="auto"/>
        <w:ind w:firstLine="640" w:firstLineChars="200"/>
        <w:textAlignment w:val="auto"/>
        <w:rPr>
          <w:rFonts w:hint="eastAsia" w:ascii="Calibri" w:hAnsi="Calibri" w:eastAsia="仿宋_GB2312" w:cs="Times New Roman"/>
          <w:color w:val="auto"/>
          <w:sz w:val="32"/>
          <w:szCs w:val="32"/>
          <w:highlight w:val="none"/>
        </w:rPr>
      </w:pPr>
      <w:r>
        <w:rPr>
          <w:rFonts w:hint="eastAsia" w:ascii="黑体" w:hAnsi="黑体" w:eastAsia="黑体" w:cs="黑体"/>
          <w:color w:val="auto"/>
          <w:kern w:val="2"/>
          <w:sz w:val="32"/>
          <w:szCs w:val="32"/>
          <w:highlight w:val="none"/>
        </w:rPr>
        <w:t>第</w:t>
      </w:r>
      <w:r>
        <w:rPr>
          <w:rFonts w:hint="eastAsia" w:ascii="黑体" w:hAnsi="黑体" w:eastAsia="黑体" w:cs="黑体"/>
          <w:color w:val="auto"/>
          <w:kern w:val="2"/>
          <w:sz w:val="32"/>
          <w:szCs w:val="32"/>
          <w:highlight w:val="none"/>
          <w:lang w:eastAsia="zh-CN"/>
        </w:rPr>
        <w:t>三十二</w:t>
      </w:r>
      <w:r>
        <w:rPr>
          <w:rFonts w:hint="eastAsia" w:ascii="黑体" w:hAnsi="黑体" w:eastAsia="黑体" w:cs="黑体"/>
          <w:color w:val="auto"/>
          <w:kern w:val="2"/>
          <w:sz w:val="32"/>
          <w:szCs w:val="32"/>
          <w:highlight w:val="none"/>
        </w:rPr>
        <w:t>条</w:t>
      </w:r>
      <w:r>
        <w:rPr>
          <w:rFonts w:hint="eastAsia" w:ascii="黑体" w:hAnsi="黑体" w:eastAsia="黑体" w:cs="黑体"/>
          <w:color w:val="auto"/>
          <w:kern w:val="2"/>
          <w:sz w:val="32"/>
          <w:szCs w:val="32"/>
          <w:highlight w:val="none"/>
          <w:lang w:val="en-US" w:eastAsia="zh-CN"/>
        </w:rPr>
        <w:t xml:space="preserve"> </w:t>
      </w:r>
      <w:r>
        <w:rPr>
          <w:rFonts w:hint="eastAsia" w:ascii="Calibri" w:hAnsi="Calibri" w:eastAsia="仿宋_GB2312" w:cs="Times New Roman"/>
          <w:color w:val="auto"/>
          <w:sz w:val="32"/>
          <w:szCs w:val="32"/>
          <w:highlight w:val="none"/>
        </w:rPr>
        <w:t>各</w:t>
      </w:r>
      <w:r>
        <w:rPr>
          <w:rFonts w:hint="eastAsia" w:ascii="Calibri" w:hAnsi="Calibri" w:cs="Times New Roman"/>
          <w:color w:val="auto"/>
          <w:sz w:val="32"/>
          <w:szCs w:val="32"/>
          <w:highlight w:val="none"/>
          <w:lang w:eastAsia="zh-CN"/>
        </w:rPr>
        <w:t>职业院校</w:t>
      </w:r>
      <w:r>
        <w:rPr>
          <w:rFonts w:hint="eastAsia" w:ascii="Calibri" w:hAnsi="Calibri" w:eastAsia="仿宋_GB2312" w:cs="Times New Roman"/>
          <w:color w:val="auto"/>
          <w:sz w:val="32"/>
          <w:szCs w:val="32"/>
          <w:highlight w:val="none"/>
        </w:rPr>
        <w:t>可以依据本办法，制定学校的资金管理和使用实施方案，抄送省财政厅、省教育厅。</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textAlignment w:val="auto"/>
      </w:pPr>
      <w:r>
        <w:rPr>
          <w:rFonts w:hint="eastAsia" w:cs="Times New Roman"/>
          <w:color w:val="auto"/>
          <w:sz w:val="32"/>
          <w:szCs w:val="32"/>
          <w:highlight w:val="none"/>
          <w:lang w:val="en-US" w:eastAsia="zh-CN"/>
        </w:rPr>
        <w:t xml:space="preserve">    </w:t>
      </w:r>
      <w:r>
        <w:rPr>
          <w:rFonts w:hint="eastAsia" w:ascii="黑体" w:hAnsi="黑体" w:eastAsia="黑体" w:cs="黑体"/>
          <w:color w:val="auto"/>
          <w:kern w:val="2"/>
          <w:sz w:val="32"/>
          <w:szCs w:val="32"/>
          <w:highlight w:val="none"/>
        </w:rPr>
        <w:t>第</w:t>
      </w:r>
      <w:r>
        <w:rPr>
          <w:rFonts w:hint="eastAsia" w:ascii="黑体" w:hAnsi="黑体" w:eastAsia="黑体" w:cs="黑体"/>
          <w:color w:val="auto"/>
          <w:kern w:val="2"/>
          <w:sz w:val="32"/>
          <w:szCs w:val="32"/>
          <w:highlight w:val="none"/>
          <w:lang w:eastAsia="zh-CN"/>
        </w:rPr>
        <w:t>三十三</w:t>
      </w:r>
      <w:r>
        <w:rPr>
          <w:rFonts w:hint="eastAsia" w:ascii="黑体" w:hAnsi="黑体" w:eastAsia="黑体" w:cs="黑体"/>
          <w:color w:val="auto"/>
          <w:kern w:val="2"/>
          <w:sz w:val="32"/>
          <w:szCs w:val="32"/>
          <w:highlight w:val="none"/>
        </w:rPr>
        <w:t>条</w:t>
      </w:r>
      <w:r>
        <w:rPr>
          <w:rFonts w:hint="eastAsia" w:ascii="黑体" w:hAnsi="黑体" w:eastAsia="黑体" w:cs="黑体"/>
          <w:color w:val="auto"/>
          <w:kern w:val="2"/>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本办法自</w:t>
      </w:r>
      <w:r>
        <w:rPr>
          <w:rFonts w:hint="eastAsia" w:ascii="仿宋_GB2312" w:hAnsi="仿宋_GB2312" w:eastAsia="仿宋_GB2312" w:cs="仿宋_GB2312"/>
          <w:color w:val="auto"/>
          <w:sz w:val="32"/>
          <w:szCs w:val="32"/>
          <w:highlight w:val="none"/>
          <w:lang w:eastAsia="zh-CN"/>
        </w:rPr>
        <w:t>印发</w:t>
      </w:r>
      <w:r>
        <w:rPr>
          <w:rFonts w:hint="eastAsia" w:ascii="仿宋_GB2312" w:hAnsi="仿宋_GB2312" w:eastAsia="仿宋_GB2312" w:cs="仿宋_GB2312"/>
          <w:color w:val="auto"/>
          <w:sz w:val="32"/>
          <w:szCs w:val="32"/>
          <w:highlight w:val="none"/>
        </w:rPr>
        <w:t>之日起</w:t>
      </w:r>
      <w:r>
        <w:rPr>
          <w:rFonts w:hint="eastAsia" w:ascii="仿宋_GB2312" w:hAnsi="仿宋_GB2312" w:cs="仿宋_GB2312"/>
          <w:color w:val="auto"/>
          <w:sz w:val="32"/>
          <w:szCs w:val="32"/>
          <w:highlight w:val="none"/>
          <w:lang w:eastAsia="zh-CN"/>
        </w:rPr>
        <w:t>实施</w:t>
      </w:r>
      <w:r>
        <w:rPr>
          <w:rFonts w:hint="eastAsia" w:ascii="仿宋_GB2312" w:hAnsi="仿宋_GB2312" w:eastAsia="仿宋_GB2312" w:cs="仿宋_GB2312"/>
          <w:color w:val="auto"/>
          <w:sz w:val="32"/>
          <w:szCs w:val="32"/>
          <w:highlight w:val="none"/>
          <w:lang w:eastAsia="zh-CN"/>
        </w:rPr>
        <w:t>，有效期</w:t>
      </w:r>
      <w:r>
        <w:rPr>
          <w:rFonts w:hint="eastAsia" w:ascii="仿宋_GB2312"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年。</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418" w:bottom="1418"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文鼎小标宋简">
    <w:altName w:val="宋体"/>
    <w:panose1 w:val="0201060901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- 1 -</w:t>
                          </w:r>
                          <w:r>
                            <w:rPr>
                              <w:rFonts w:hint="eastAsia" w:ascii="仿宋_GB2312" w:hAnsi="仿宋_GB2312" w:eastAsia="仿宋_GB2312" w:cs="仿宋_GB2312"/>
                              <w:sz w:val="30"/>
                              <w:szCs w:val="3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- 1 -</w:t>
                    </w:r>
                    <w:r>
                      <w:rPr>
                        <w:rFonts w:hint="eastAsia" w:ascii="仿宋_GB2312" w:hAnsi="仿宋_GB2312" w:eastAsia="仿宋_GB2312" w:cs="仿宋_GB2312"/>
                        <w:sz w:val="30"/>
                        <w:szCs w:val="3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MjU5ZTNiZWNjMDFjNzU4YzI5MjhlMzBhZTcxYzUifQ=="/>
  </w:docVars>
  <w:rsids>
    <w:rsidRoot w:val="185E35D3"/>
    <w:rsid w:val="185E3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pPr>
    <w:rPr>
      <w:rFonts w:ascii="Calibri" w:hAnsi="Calibri" w:cs="Times New Roman"/>
      <w:kern w:val="0"/>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2"/>
    <w:basedOn w:val="1"/>
    <w:next w:val="1"/>
    <w:qFormat/>
    <w:uiPriority w:val="0"/>
    <w:pPr>
      <w:ind w:left="200" w:leftChars="200"/>
    </w:pPr>
    <w:rPr>
      <w:rFonts w:ascii="Calibri" w:hAnsi="Calibri" w:cs="Times New Roman"/>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2023-12-11T08:35:00Z</dcterms:created>
  <dc:creator>Lenovo</dc:creator>
  <cp:lastModifiedBy>Lenovo</cp:lastModifiedBy>
  <dcterms:modified xsi:type="dcterms:W3CDTF">2023-12-11T08:47:15Z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AFCB739BCA994404B8EEB76DF1251B5A_11</vt:lpwstr>
  </property>
</Properties>
</file>