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58"/>
        <w:rPr>
          <w:rFonts w:ascii="Arial"/>
          <w:sz w:val="21"/>
        </w:rPr>
      </w:pPr>
    </w:p>
    <w:p>
      <w:pPr>
        <w:pStyle w:val="style0"/>
        <w:spacing w:lineRule="auto" w:line="259"/>
        <w:rPr>
          <w:rFonts w:ascii="Arial"/>
          <w:sz w:val="21"/>
        </w:rPr>
      </w:pPr>
    </w:p>
    <w:p>
      <w:pPr>
        <w:pStyle w:val="style0"/>
        <w:spacing w:before="117" w:lineRule="auto" w:line="221"/>
        <w:ind w:firstLine="3865" w:firstLineChars="1100"/>
        <w:jc w:val="both"/>
        <w:outlineLvl w:val="0"/>
        <w:rPr>
          <w:rFonts w:ascii="黑体" w:cs="黑体" w:eastAsia="黑体" w:hAnsi="黑体"/>
          <w:sz w:val="36"/>
          <w:szCs w:val="36"/>
        </w:rPr>
      </w:pPr>
      <w:r>
        <w:rPr>
          <w:rFonts w:ascii="黑体" w:cs="黑体" w:eastAsia="黑体" w:hAnsi="黑体"/>
          <w:b/>
          <w:bCs/>
          <w:spacing w:val="-5"/>
          <w:sz w:val="36"/>
          <w:szCs w:val="36"/>
        </w:rPr>
        <w:t>绩效目标表</w:t>
      </w:r>
    </w:p>
    <w:p>
      <w:pPr>
        <w:pStyle w:val="style0"/>
        <w:spacing w:before="192" w:lineRule="auto" w:line="225"/>
        <w:ind w:left="3704" w:firstLine="332" w:firstLineChars="100"/>
        <w:rPr>
          <w:rFonts w:ascii="楷体" w:cs="楷体" w:eastAsia="楷体" w:hAnsi="楷体"/>
          <w:sz w:val="31"/>
          <w:szCs w:val="31"/>
        </w:rPr>
      </w:pPr>
      <w:r>
        <w:rPr>
          <w:rFonts w:ascii="仿宋_GB2312" w:cs="仿宋_GB2312" w:eastAsia="仿宋_GB2312" w:hAnsi="仿宋_GB2312" w:hint="eastAsia"/>
          <w:spacing w:val="11"/>
          <w:sz w:val="31"/>
          <w:szCs w:val="31"/>
          <w:u w:val="none" w:color="ffffff"/>
          <w:shd w:val="clear" w:color="auto" w:fill="auto"/>
        </w:rPr>
        <w:t>(</w:t>
      </w:r>
      <w:r>
        <w:rPr>
          <w:rFonts w:ascii="仿宋_GB2312" w:cs="仿宋_GB2312" w:eastAsia="仿宋_GB2312" w:hAnsi="仿宋_GB2312" w:hint="eastAsia"/>
          <w:spacing w:val="11"/>
          <w:sz w:val="31"/>
          <w:szCs w:val="31"/>
        </w:rPr>
        <w:t>202</w:t>
      </w:r>
      <w:r>
        <w:rPr>
          <w:rFonts w:ascii="仿宋_GB2312" w:cs="仿宋_GB2312" w:eastAsia="仿宋_GB2312" w:hAnsi="仿宋_GB2312" w:hint="eastAsia"/>
          <w:spacing w:val="11"/>
          <w:sz w:val="31"/>
          <w:szCs w:val="31"/>
          <w:lang w:val="en-US" w:eastAsia="zh-CN"/>
        </w:rPr>
        <w:t>5</w:t>
      </w:r>
      <w:r>
        <w:rPr>
          <w:rFonts w:ascii="仿宋_GB2312" w:cs="仿宋_GB2312" w:eastAsia="仿宋_GB2312" w:hAnsi="仿宋_GB2312" w:hint="eastAsia"/>
          <w:spacing w:val="11"/>
          <w:sz w:val="31"/>
          <w:szCs w:val="31"/>
        </w:rPr>
        <w:t>年度</w:t>
      </w:r>
      <w:r>
        <w:rPr>
          <w:rFonts w:ascii="仿宋_GB2312" w:cs="仿宋_GB2312" w:eastAsia="仿宋_GB2312" w:hAnsi="仿宋_GB2312" w:hint="eastAsia"/>
          <w:spacing w:val="11"/>
          <w:sz w:val="31"/>
          <w:szCs w:val="31"/>
          <w:u w:val="none" w:color="ffffff"/>
          <w:shd w:val="clear" w:color="auto" w:fill="auto"/>
        </w:rPr>
        <w:t>)</w:t>
      </w:r>
    </w:p>
    <w:tbl>
      <w:tblPr>
        <w:tblStyle w:val="style4097"/>
        <w:tblpPr w:leftFromText="180" w:rightFromText="180" w:topFromText="0" w:bottomFromText="0" w:vertAnchor="text" w:horzAnchor="page" w:tblpX="1448" w:tblpY="101"/>
        <w:tblOverlap w:val="never"/>
        <w:tblW w:w="9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708"/>
        <w:gridCol w:w="1688"/>
        <w:gridCol w:w="3256"/>
        <w:gridCol w:w="1833"/>
      </w:tblGrid>
      <w:tr>
        <w:trPr>
          <w:trHeight w:val="624" w:hRule="atLeast"/>
        </w:trPr>
        <w:tc>
          <w:tcPr>
            <w:tcW w:w="2252" w:type="dxa"/>
            <w:gridSpan w:val="2"/>
            <w:tcBorders/>
          </w:tcPr>
          <w:p>
            <w:pPr>
              <w:pStyle w:val="style4098"/>
              <w:spacing w:before="214" w:lineRule="auto" w:line="220"/>
              <w:ind w:left="694"/>
              <w:jc w:val="both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-2"/>
                <w:sz w:val="24"/>
                <w:szCs w:val="24"/>
              </w:rPr>
              <w:t>专项名称</w:t>
            </w:r>
          </w:p>
        </w:tc>
        <w:tc>
          <w:tcPr>
            <w:tcW w:w="6777" w:type="dxa"/>
            <w:gridSpan w:val="3"/>
            <w:tcBorders/>
          </w:tcPr>
          <w:p>
            <w:pPr>
              <w:pStyle w:val="style4098"/>
              <w:spacing w:before="213" w:lineRule="auto" w:line="219"/>
              <w:ind w:left="1492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2"/>
                <w:sz w:val="24"/>
                <w:szCs w:val="24"/>
                <w:lang w:eastAsia="zh-CN"/>
              </w:rPr>
              <w:t>优质高效医疗卫生服务体系建设工程专项</w:t>
            </w:r>
          </w:p>
        </w:tc>
      </w:tr>
      <w:tr>
        <w:tblPrEx/>
        <w:trPr>
          <w:trHeight w:val="619" w:hRule="atLeast"/>
        </w:trPr>
        <w:tc>
          <w:tcPr>
            <w:tcW w:w="2252" w:type="dxa"/>
            <w:gridSpan w:val="2"/>
            <w:tcBorders/>
          </w:tcPr>
          <w:p>
            <w:pPr>
              <w:pStyle w:val="style4098"/>
              <w:spacing w:before="210" w:lineRule="auto" w:line="220"/>
              <w:ind w:left="384" w:firstLine="484" w:firstLineChars="200"/>
              <w:jc w:val="both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1"/>
                <w:sz w:val="24"/>
                <w:szCs w:val="24"/>
                <w:lang w:eastAsia="zh-CN"/>
              </w:rPr>
              <w:t>主管</w:t>
            </w:r>
            <w:r>
              <w:rPr>
                <w:rFonts w:ascii="仿宋_GB2312" w:cs="仿宋_GB2312" w:eastAsia="仿宋_GB2312" w:hAnsi="仿宋_GB2312" w:hint="eastAsia"/>
                <w:spacing w:val="1"/>
                <w:sz w:val="24"/>
                <w:szCs w:val="24"/>
              </w:rPr>
              <w:t>单位</w:t>
            </w:r>
          </w:p>
        </w:tc>
        <w:tc>
          <w:tcPr>
            <w:tcW w:w="6777" w:type="dxa"/>
            <w:gridSpan w:val="3"/>
            <w:tcBorders/>
          </w:tcPr>
          <w:p>
            <w:pPr>
              <w:pStyle w:val="style4098"/>
              <w:spacing w:before="209" w:lineRule="auto" w:line="219"/>
              <w:ind w:left="2432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2"/>
                <w:sz w:val="24"/>
                <w:szCs w:val="24"/>
                <w:lang w:eastAsia="zh-CN"/>
              </w:rPr>
              <w:t>广东省中医药局</w:t>
            </w:r>
          </w:p>
        </w:tc>
      </w:tr>
      <w:tr>
        <w:tblPrEx/>
        <w:trPr>
          <w:trHeight w:val="739" w:hRule="atLeast"/>
        </w:trPr>
        <w:tc>
          <w:tcPr>
            <w:tcW w:w="2252" w:type="dxa"/>
            <w:gridSpan w:val="2"/>
            <w:tcBorders/>
          </w:tcPr>
          <w:p>
            <w:pPr>
              <w:pStyle w:val="style4098"/>
              <w:spacing w:before="139" w:lineRule="auto" w:line="219"/>
              <w:ind w:left="174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3"/>
                <w:sz w:val="24"/>
                <w:szCs w:val="24"/>
              </w:rPr>
              <w:t>本次下达中央预算内</w:t>
            </w:r>
            <w:r>
              <w:rPr>
                <w:rFonts w:ascii="仿宋_GB2312" w:cs="仿宋_GB2312" w:eastAsia="仿宋_GB2312" w:hAnsi="仿宋_GB2312" w:hint="eastAsia"/>
                <w:spacing w:val="7"/>
                <w:sz w:val="24"/>
                <w:szCs w:val="24"/>
              </w:rPr>
              <w:t>投资</w:t>
            </w:r>
            <w:r>
              <w:rPr>
                <w:rFonts w:ascii="仿宋_GB2312" w:cs="仿宋_GB2312" w:eastAsia="仿宋_GB2312" w:hAnsi="仿宋_GB2312" w:hint="eastAsia"/>
                <w:spacing w:val="7"/>
                <w:sz w:val="24"/>
                <w:szCs w:val="24"/>
                <w:u w:val="none" w:color="ffffff"/>
                <w:shd w:val="clear" w:color="auto" w:fill="auto"/>
              </w:rPr>
              <w:t>(</w:t>
            </w:r>
            <w:r>
              <w:rPr>
                <w:rFonts w:ascii="仿宋_GB2312" w:cs="仿宋_GB2312" w:eastAsia="仿宋_GB2312" w:hAnsi="仿宋_GB2312" w:hint="eastAsia"/>
                <w:spacing w:val="7"/>
                <w:sz w:val="24"/>
                <w:szCs w:val="24"/>
              </w:rPr>
              <w:t>万元</w:t>
            </w:r>
            <w:r>
              <w:rPr>
                <w:rFonts w:ascii="仿宋_GB2312" w:cs="仿宋_GB2312" w:eastAsia="仿宋_GB2312" w:hAnsi="仿宋_GB2312" w:hint="eastAsia"/>
                <w:spacing w:val="7"/>
                <w:sz w:val="24"/>
                <w:szCs w:val="24"/>
                <w:u w:val="none" w:color="ffffff"/>
                <w:shd w:val="clear" w:color="auto" w:fill="auto"/>
              </w:rPr>
              <w:t>)</w:t>
            </w:r>
          </w:p>
        </w:tc>
        <w:tc>
          <w:tcPr>
            <w:tcW w:w="6777" w:type="dxa"/>
            <w:gridSpan w:val="3"/>
            <w:tcBorders/>
          </w:tcPr>
          <w:p>
            <w:pPr>
              <w:pStyle w:val="style0"/>
              <w:spacing w:lineRule="auto" w:line="253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  <w:p>
            <w:pPr>
              <w:pStyle w:val="style4098"/>
              <w:spacing w:before="69" w:lineRule="auto" w:line="183"/>
              <w:ind w:left="3222"/>
              <w:rPr>
                <w:rFonts w:ascii="仿宋_GB2312" w:cs="仿宋_GB2312" w:eastAsia="仿宋_GB2312" w:hAnsi="仿宋_GB2312" w:hint="default"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pacing w:val="-2"/>
                <w:sz w:val="24"/>
                <w:szCs w:val="24"/>
                <w:lang w:val="en-US" w:eastAsia="zh-CN"/>
              </w:rPr>
              <w:t>7</w:t>
            </w:r>
            <w:r>
              <w:rPr>
                <w:rFonts w:ascii="仿宋_GB2312" w:cs="仿宋_GB2312" w:eastAsia="仿宋_GB2312" w:hAnsi="仿宋_GB2312" w:hint="eastAsia"/>
                <w:spacing w:val="-2"/>
                <w:sz w:val="24"/>
                <w:szCs w:val="24"/>
                <w:u w:val="none" w:color="ffffff"/>
                <w:shd w:val="clear" w:color="auto" w:fill="auto"/>
                <w:lang w:val="en-US" w:eastAsia="zh-CN"/>
              </w:rPr>
              <w:t>,</w:t>
            </w:r>
            <w:r>
              <w:rPr>
                <w:rFonts w:ascii="仿宋_GB2312" w:cs="仿宋_GB2312" w:eastAsia="仿宋_GB2312" w:hAnsi="仿宋_GB2312" w:hint="eastAsia"/>
                <w:spacing w:val="-2"/>
                <w:sz w:val="24"/>
                <w:szCs w:val="24"/>
                <w:lang w:val="en-US" w:eastAsia="zh-CN"/>
              </w:rPr>
              <w:t>500</w:t>
            </w:r>
          </w:p>
        </w:tc>
      </w:tr>
      <w:tr>
        <w:tblPrEx/>
        <w:trPr>
          <w:trHeight w:val="1588" w:hRule="atLeast"/>
        </w:trPr>
        <w:tc>
          <w:tcPr>
            <w:tcW w:w="544" w:type="dxa"/>
            <w:tcBorders/>
            <w:textDirection w:val="tbRlV"/>
          </w:tcPr>
          <w:p>
            <w:pPr>
              <w:pStyle w:val="style4098"/>
              <w:spacing w:before="168" w:lineRule="auto" w:line="217"/>
              <w:ind w:left="122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总 体 目 标</w:t>
            </w:r>
          </w:p>
        </w:tc>
        <w:tc>
          <w:tcPr>
            <w:tcW w:w="8485" w:type="dxa"/>
            <w:gridSpan w:val="4"/>
            <w:tcBorders/>
          </w:tcPr>
          <w:p>
            <w:pPr>
              <w:pStyle w:val="style4098"/>
              <w:spacing w:before="68" w:lineRule="auto" w:line="246"/>
              <w:ind w:right="149" w:firstLine="480" w:firstLineChars="20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以习近平新时代中国特色社会主义思想为指导，深入贯彻落实党中央、国务院决策部署， 切实推动《“十四五”优质高效医疗卫生服务体系建设实施方案》等政策任务落地，逐步改善</w:t>
            </w:r>
            <w:bookmarkStart w:id="0" w:name="FunCunProofread1691"/>
            <w:r>
              <w:rPr>
                <w:rFonts w:ascii="仿宋_GB2312" w:cs="仿宋_GB2312" w:eastAsia="仿宋_GB2312" w:hAnsi="仿宋_GB2312" w:hint="eastAsia"/>
                <w:sz w:val="24"/>
                <w:szCs w:val="24"/>
                <w:lang w:eastAsia="zh-CN"/>
              </w:rPr>
              <w:t>医疗</w:t>
            </w:r>
            <w:bookmarkEnd w:id="0"/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卫生机构基础条件，提升公共卫生防控救治能力，推动优质医疗资源扩容和均衡布局，提升重点人群健康服务能力，为加快完善分级诊疗体系、形成有序就医格局、满足人民群众持续增长的健康需求提供重要保障。</w:t>
            </w:r>
          </w:p>
        </w:tc>
      </w:tr>
      <w:tr>
        <w:tblPrEx/>
        <w:trPr>
          <w:trHeight w:val="610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</w:tcPr>
          <w:p>
            <w:pPr>
              <w:pStyle w:val="style4098"/>
              <w:spacing w:before="168" w:lineRule="auto" w:line="217"/>
              <w:ind w:left="894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绩</w:t>
            </w:r>
            <w:r>
              <w:rPr>
                <w:rFonts w:ascii="仿宋_GB2312" w:cs="仿宋_GB2312" w:eastAsia="仿宋_GB2312" w:hAnsi="仿宋_GB2312" w:hint="eastAsia"/>
                <w:spacing w:val="2"/>
                <w:sz w:val="24"/>
                <w:szCs w:val="24"/>
              </w:rPr>
              <w:t xml:space="preserve">          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效</w:t>
            </w:r>
            <w:r>
              <w:rPr>
                <w:rFonts w:ascii="仿宋_GB2312" w:cs="仿宋_GB2312" w:eastAsia="仿宋_GB2312" w:hAnsi="仿宋_GB2312" w:hint="eastAsia"/>
                <w:spacing w:val="6"/>
                <w:sz w:val="24"/>
                <w:szCs w:val="24"/>
              </w:rPr>
              <w:t xml:space="preserve">         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指</w:t>
            </w:r>
            <w:r>
              <w:rPr>
                <w:rFonts w:ascii="仿宋_GB2312" w:cs="仿宋_GB2312" w:eastAsia="仿宋_GB2312" w:hAnsi="仿宋_GB2312" w:hint="eastAsia"/>
                <w:spacing w:val="4"/>
                <w:sz w:val="24"/>
                <w:szCs w:val="24"/>
              </w:rPr>
              <w:t xml:space="preserve">          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标</w:t>
            </w:r>
          </w:p>
        </w:tc>
        <w:tc>
          <w:tcPr>
            <w:tcW w:w="1708" w:type="dxa"/>
            <w:tcBorders/>
          </w:tcPr>
          <w:p>
            <w:pPr>
              <w:pStyle w:val="style4098"/>
              <w:spacing w:before="204" w:lineRule="auto" w:line="220"/>
              <w:ind w:left="42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-3"/>
                <w:sz w:val="24"/>
                <w:szCs w:val="24"/>
              </w:rPr>
              <w:t>一级指标</w:t>
            </w:r>
          </w:p>
        </w:tc>
        <w:tc>
          <w:tcPr>
            <w:tcW w:w="1688" w:type="dxa"/>
            <w:tcBorders/>
          </w:tcPr>
          <w:p>
            <w:pPr>
              <w:pStyle w:val="style4098"/>
              <w:spacing w:before="204" w:lineRule="auto" w:line="220"/>
              <w:ind w:left="412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-3"/>
                <w:sz w:val="24"/>
                <w:szCs w:val="24"/>
              </w:rPr>
              <w:t>二级指标</w:t>
            </w:r>
          </w:p>
        </w:tc>
        <w:tc>
          <w:tcPr>
            <w:tcW w:w="3256" w:type="dxa"/>
            <w:tcBorders/>
          </w:tcPr>
          <w:p>
            <w:pPr>
              <w:pStyle w:val="style4098"/>
              <w:spacing w:before="204" w:lineRule="auto" w:line="220"/>
              <w:ind w:left="1205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-2"/>
                <w:sz w:val="24"/>
                <w:szCs w:val="24"/>
              </w:rPr>
              <w:t>三级指标</w:t>
            </w:r>
          </w:p>
        </w:tc>
        <w:tc>
          <w:tcPr>
            <w:tcW w:w="1833" w:type="dxa"/>
            <w:tcBorders/>
          </w:tcPr>
          <w:p>
            <w:pPr>
              <w:pStyle w:val="style4098"/>
              <w:spacing w:before="203" w:lineRule="auto" w:line="219"/>
              <w:ind w:left="598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-3"/>
                <w:sz w:val="24"/>
                <w:szCs w:val="24"/>
              </w:rPr>
              <w:t>指标值</w:t>
            </w:r>
          </w:p>
        </w:tc>
      </w:tr>
      <w:tr>
        <w:tblPrEx/>
        <w:trPr>
          <w:trHeight w:val="630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708" w:type="dxa"/>
            <w:tcBorders/>
          </w:tcPr>
          <w:p>
            <w:pPr>
              <w:pStyle w:val="style4098"/>
              <w:spacing w:before="214" w:lineRule="auto" w:line="220"/>
              <w:ind w:left="21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1"/>
                <w:sz w:val="24"/>
                <w:szCs w:val="24"/>
              </w:rPr>
              <w:t>实施效果指标</w:t>
            </w:r>
          </w:p>
        </w:tc>
        <w:tc>
          <w:tcPr>
            <w:tcW w:w="1688" w:type="dxa"/>
            <w:tcBorders/>
          </w:tcPr>
          <w:p>
            <w:pPr>
              <w:pStyle w:val="style4098"/>
              <w:spacing w:before="213" w:lineRule="auto" w:line="219"/>
              <w:ind w:left="412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-2"/>
                <w:sz w:val="24"/>
                <w:szCs w:val="24"/>
              </w:rPr>
              <w:t>产出指标</w:t>
            </w:r>
          </w:p>
        </w:tc>
        <w:tc>
          <w:tcPr>
            <w:tcW w:w="3256" w:type="dxa"/>
            <w:tcBorders/>
          </w:tcPr>
          <w:p>
            <w:pPr>
              <w:pStyle w:val="style4098"/>
              <w:spacing w:before="213" w:lineRule="auto" w:line="219"/>
              <w:ind w:firstLine="976" w:firstLineChars="40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2"/>
                <w:sz w:val="24"/>
                <w:szCs w:val="24"/>
                <w:lang w:val="en-US" w:eastAsia="zh-CN"/>
              </w:rPr>
              <w:t>支持项目数量</w:t>
            </w:r>
          </w:p>
        </w:tc>
        <w:tc>
          <w:tcPr>
            <w:tcW w:w="1833" w:type="dxa"/>
            <w:tcBorders/>
          </w:tcPr>
          <w:p>
            <w:pPr>
              <w:pStyle w:val="style4098"/>
              <w:spacing w:before="267" w:lineRule="auto" w:line="183"/>
              <w:ind w:left="748"/>
              <w:rPr>
                <w:rFonts w:ascii="仿宋_GB2312" w:cs="仿宋_GB2312" w:eastAsia="仿宋_GB2312" w:hAnsi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pacing w:val="-2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/>
        <w:trPr>
          <w:trHeight w:val="61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  <w:tcBorders>
              <w:bottom w:val="nil"/>
            </w:tcBorders>
          </w:tcPr>
          <w:p>
            <w:pPr>
              <w:pStyle w:val="style0"/>
              <w:spacing w:lineRule="auto" w:line="259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  <w:p>
            <w:pPr>
              <w:pStyle w:val="style0"/>
              <w:spacing w:lineRule="auto" w:line="259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  <w:p>
            <w:pPr>
              <w:pStyle w:val="style0"/>
              <w:spacing w:lineRule="auto" w:line="259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  <w:p>
            <w:pPr>
              <w:pStyle w:val="style0"/>
              <w:spacing w:lineRule="auto" w:line="259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  <w:p>
            <w:pPr>
              <w:pStyle w:val="style0"/>
              <w:spacing w:lineRule="auto" w:line="259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  <w:p>
            <w:pPr>
              <w:pStyle w:val="style0"/>
              <w:spacing w:lineRule="auto" w:line="259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  <w:p>
            <w:pPr>
              <w:pStyle w:val="style0"/>
              <w:spacing w:lineRule="auto" w:line="259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  <w:p>
            <w:pPr>
              <w:pStyle w:val="style0"/>
              <w:spacing w:lineRule="auto" w:line="259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  <w:p>
            <w:pPr>
              <w:pStyle w:val="style4098"/>
              <w:spacing w:before="69" w:lineRule="auto" w:line="219"/>
              <w:ind w:left="21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-2"/>
                <w:sz w:val="24"/>
                <w:szCs w:val="24"/>
              </w:rPr>
              <w:t>过程管理指标</w:t>
            </w:r>
          </w:p>
        </w:tc>
        <w:tc>
          <w:tcPr>
            <w:tcW w:w="1688" w:type="dxa"/>
            <w:vMerge w:val="restart"/>
            <w:tcBorders>
              <w:bottom w:val="nil"/>
            </w:tcBorders>
          </w:tcPr>
          <w:p>
            <w:pPr>
              <w:pStyle w:val="style0"/>
              <w:spacing w:lineRule="auto" w:line="452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  <w:p>
            <w:pPr>
              <w:pStyle w:val="style4098"/>
              <w:spacing w:before="68" w:lineRule="auto" w:line="219"/>
              <w:ind w:left="203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-2"/>
                <w:sz w:val="24"/>
                <w:szCs w:val="24"/>
              </w:rPr>
              <w:t>计划管理指标</w:t>
            </w:r>
          </w:p>
        </w:tc>
        <w:tc>
          <w:tcPr>
            <w:tcW w:w="3256" w:type="dxa"/>
            <w:tcBorders/>
          </w:tcPr>
          <w:p>
            <w:pPr>
              <w:pStyle w:val="style4098"/>
              <w:spacing w:before="214" w:lineRule="auto" w:line="220"/>
              <w:ind w:left="784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1"/>
                <w:sz w:val="24"/>
                <w:szCs w:val="24"/>
              </w:rPr>
              <w:t>投资计划分解用时</w:t>
            </w:r>
          </w:p>
        </w:tc>
        <w:tc>
          <w:tcPr>
            <w:tcW w:w="1833" w:type="dxa"/>
            <w:tcBorders/>
          </w:tcPr>
          <w:p>
            <w:pPr>
              <w:pStyle w:val="style4098"/>
              <w:spacing w:before="213" w:lineRule="auto" w:line="219"/>
              <w:ind w:left="278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5"/>
                <w:sz w:val="24"/>
                <w:szCs w:val="24"/>
              </w:rPr>
              <w:t>≤</w:t>
            </w:r>
            <w:r>
              <w:rPr>
                <w:rFonts w:ascii="仿宋_GB2312" w:cs="仿宋_GB2312" w:eastAsia="仿宋_GB2312" w:hAnsi="仿宋_GB2312" w:hint="eastAsia"/>
                <w:spacing w:val="5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cs="仿宋_GB2312" w:eastAsia="仿宋_GB2312" w:hAnsi="仿宋_GB2312" w:hint="eastAsia"/>
                <w:spacing w:val="5"/>
                <w:sz w:val="24"/>
                <w:szCs w:val="24"/>
              </w:rPr>
              <w:t>0个工作日</w:t>
            </w:r>
          </w:p>
        </w:tc>
      </w:tr>
      <w:tr>
        <w:tblPrEx/>
        <w:trPr>
          <w:trHeight w:val="61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3256" w:type="dxa"/>
            <w:tcBorders/>
          </w:tcPr>
          <w:p>
            <w:pPr>
              <w:pStyle w:val="style4098"/>
              <w:spacing w:before="214" w:lineRule="auto" w:line="219"/>
              <w:jc w:val="right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7"/>
                <w:sz w:val="24"/>
                <w:szCs w:val="24"/>
              </w:rPr>
              <w:t>“两个责任”按项目落实到位率</w:t>
            </w:r>
          </w:p>
        </w:tc>
        <w:tc>
          <w:tcPr>
            <w:tcW w:w="1833" w:type="dxa"/>
            <w:tcBorders/>
          </w:tcPr>
          <w:p>
            <w:pPr>
              <w:pStyle w:val="style4098"/>
              <w:spacing w:before="267" w:lineRule="auto" w:line="184"/>
              <w:ind w:left="698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-5"/>
                <w:sz w:val="24"/>
                <w:szCs w:val="24"/>
                <w:lang w:val="en-US" w:eastAsia="zh-CN"/>
              </w:rPr>
              <w:t>≥95</w:t>
            </w:r>
            <w:r>
              <w:rPr>
                <w:rFonts w:ascii="仿宋_GB2312" w:cs="仿宋_GB2312" w:eastAsia="仿宋_GB2312" w:hAnsi="仿宋_GB2312" w:hint="eastAsia"/>
                <w:spacing w:val="-5"/>
                <w:sz w:val="24"/>
                <w:szCs w:val="24"/>
              </w:rPr>
              <w:t>%</w:t>
            </w:r>
          </w:p>
        </w:tc>
      </w:tr>
      <w:tr>
        <w:tblPrEx/>
        <w:trPr>
          <w:trHeight w:val="61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bottom w:val="nil"/>
            </w:tcBorders>
          </w:tcPr>
          <w:p>
            <w:pPr>
              <w:pStyle w:val="style0"/>
              <w:spacing w:lineRule="auto" w:line="464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  <w:p>
            <w:pPr>
              <w:pStyle w:val="style4098"/>
              <w:spacing w:before="68" w:lineRule="auto" w:line="219"/>
              <w:ind w:left="203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1"/>
                <w:sz w:val="24"/>
                <w:szCs w:val="24"/>
              </w:rPr>
              <w:t>资金管理指标</w:t>
            </w:r>
          </w:p>
        </w:tc>
        <w:tc>
          <w:tcPr>
            <w:tcW w:w="3256" w:type="dxa"/>
            <w:tcBorders/>
          </w:tcPr>
          <w:p>
            <w:pPr>
              <w:pStyle w:val="style4098"/>
              <w:spacing w:before="215" w:lineRule="auto" w:line="219"/>
              <w:ind w:left="574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中央预算内投资支付率</w:t>
            </w:r>
          </w:p>
        </w:tc>
        <w:tc>
          <w:tcPr>
            <w:tcW w:w="1833" w:type="dxa"/>
            <w:tcBorders/>
          </w:tcPr>
          <w:p>
            <w:pPr>
              <w:pStyle w:val="style4098"/>
              <w:spacing w:before="236" w:lineRule="auto" w:line="237"/>
              <w:ind w:left="649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-6"/>
                <w:sz w:val="24"/>
                <w:szCs w:val="24"/>
              </w:rPr>
              <w:t>≥</w:t>
            </w:r>
            <w:r>
              <w:rPr>
                <w:rFonts w:ascii="仿宋_GB2312" w:cs="仿宋_GB2312" w:eastAsia="仿宋_GB2312" w:hAnsi="仿宋_GB2312" w:hint="eastAsia"/>
                <w:spacing w:val="-6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_GB2312" w:cs="仿宋_GB2312" w:eastAsia="仿宋_GB2312" w:hAnsi="仿宋_GB2312" w:hint="eastAsia"/>
                <w:spacing w:val="-6"/>
                <w:sz w:val="24"/>
                <w:szCs w:val="24"/>
              </w:rPr>
              <w:t>0%</w:t>
            </w:r>
          </w:p>
        </w:tc>
      </w:tr>
      <w:tr>
        <w:tblPrEx/>
        <w:trPr>
          <w:trHeight w:val="62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3256" w:type="dxa"/>
            <w:tcBorders/>
          </w:tcPr>
          <w:p>
            <w:pPr>
              <w:pStyle w:val="style4098"/>
              <w:spacing w:before="216" w:lineRule="auto" w:line="219"/>
              <w:ind w:left="675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-1"/>
                <w:sz w:val="24"/>
                <w:szCs w:val="24"/>
              </w:rPr>
              <w:t>年度计划投资完成率</w:t>
            </w:r>
          </w:p>
        </w:tc>
        <w:tc>
          <w:tcPr>
            <w:tcW w:w="1833" w:type="dxa"/>
            <w:tcBorders/>
          </w:tcPr>
          <w:p>
            <w:pPr>
              <w:pStyle w:val="style4098"/>
              <w:spacing w:before="237" w:lineRule="auto" w:line="237"/>
              <w:ind w:left="649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-6"/>
                <w:sz w:val="24"/>
                <w:szCs w:val="24"/>
              </w:rPr>
              <w:t>≥</w:t>
            </w:r>
            <w:r>
              <w:rPr>
                <w:rFonts w:ascii="仿宋_GB2312" w:cs="仿宋_GB2312" w:eastAsia="仿宋_GB2312" w:hAnsi="仿宋_GB2312" w:hint="eastAsia"/>
                <w:spacing w:val="-6"/>
                <w:sz w:val="24"/>
                <w:szCs w:val="24"/>
                <w:lang w:val="en-US" w:eastAsia="zh-CN"/>
              </w:rPr>
              <w:t>7</w:t>
            </w:r>
            <w:r>
              <w:rPr>
                <w:rFonts w:ascii="仿宋_GB2312" w:cs="仿宋_GB2312" w:eastAsia="仿宋_GB2312" w:hAnsi="仿宋_GB2312" w:hint="eastAsia"/>
                <w:spacing w:val="-6"/>
                <w:sz w:val="24"/>
                <w:szCs w:val="24"/>
              </w:rPr>
              <w:t>0%</w:t>
            </w:r>
          </w:p>
        </w:tc>
      </w:tr>
      <w:tr>
        <w:tblPrEx/>
        <w:trPr>
          <w:trHeight w:val="630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bottom w:val="nil"/>
            </w:tcBorders>
          </w:tcPr>
          <w:p>
            <w:pPr>
              <w:pStyle w:val="style0"/>
              <w:spacing w:lineRule="auto" w:line="466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  <w:p>
            <w:pPr>
              <w:pStyle w:val="style4098"/>
              <w:spacing w:before="68" w:lineRule="auto" w:line="219"/>
              <w:ind w:left="203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-2"/>
                <w:sz w:val="24"/>
                <w:szCs w:val="24"/>
              </w:rPr>
              <w:t>项目管理指标</w:t>
            </w:r>
          </w:p>
        </w:tc>
        <w:tc>
          <w:tcPr>
            <w:tcW w:w="3256" w:type="dxa"/>
            <w:tcBorders/>
          </w:tcPr>
          <w:p>
            <w:pPr>
              <w:pStyle w:val="style4098"/>
              <w:spacing w:before="217" w:lineRule="auto" w:line="219"/>
              <w:ind w:left="1094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1"/>
                <w:sz w:val="24"/>
                <w:szCs w:val="24"/>
              </w:rPr>
              <w:t>项目开工率</w:t>
            </w:r>
          </w:p>
        </w:tc>
        <w:tc>
          <w:tcPr>
            <w:tcW w:w="1833" w:type="dxa"/>
            <w:tcBorders/>
          </w:tcPr>
          <w:p>
            <w:pPr>
              <w:pStyle w:val="style4098"/>
              <w:spacing w:before="270" w:lineRule="auto" w:line="184"/>
              <w:ind w:firstLine="460" w:firstLineChars="200"/>
              <w:rPr>
                <w:rFonts w:ascii="仿宋_GB2312" w:cs="仿宋_GB2312" w:eastAsia="仿宋_GB2312" w:hAnsi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pacing w:val="-5"/>
                <w:sz w:val="24"/>
                <w:szCs w:val="24"/>
                <w:lang w:eastAsia="zh-CN"/>
              </w:rPr>
              <w:t>按计划开工</w:t>
            </w:r>
          </w:p>
        </w:tc>
      </w:tr>
      <w:tr>
        <w:tblPrEx/>
        <w:trPr>
          <w:trHeight w:val="1198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88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3256" w:type="dxa"/>
            <w:tcBorders/>
            <w:vAlign w:val="center"/>
          </w:tcPr>
          <w:p>
            <w:pPr>
              <w:pStyle w:val="style4098"/>
              <w:spacing w:before="217" w:lineRule="auto" w:line="219"/>
              <w:ind w:firstLine="242" w:firstLineChars="100"/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pacing w:val="1"/>
                <w:sz w:val="24"/>
                <w:szCs w:val="24"/>
                <w:lang w:eastAsia="zh-CN"/>
              </w:rPr>
              <w:t>建设</w:t>
            </w:r>
            <w:r>
              <w:rPr>
                <w:rFonts w:ascii="仿宋_GB2312" w:cs="仿宋_GB2312" w:eastAsia="仿宋_GB2312" w:hAnsi="仿宋_GB2312" w:hint="eastAsia"/>
                <w:spacing w:val="1"/>
                <w:sz w:val="24"/>
                <w:szCs w:val="24"/>
              </w:rPr>
              <w:t>规模、</w:t>
            </w:r>
            <w:r>
              <w:rPr>
                <w:rFonts w:ascii="仿宋_GB2312" w:cs="仿宋_GB2312" w:eastAsia="仿宋_GB2312" w:hAnsi="仿宋_GB2312" w:hint="eastAsia"/>
                <w:spacing w:val="1"/>
                <w:sz w:val="24"/>
                <w:szCs w:val="24"/>
                <w:lang w:eastAsia="zh-CN"/>
              </w:rPr>
              <w:t>建设</w:t>
            </w:r>
            <w:r>
              <w:rPr>
                <w:rFonts w:ascii="仿宋_GB2312" w:cs="仿宋_GB2312" w:eastAsia="仿宋_GB2312" w:hAnsi="仿宋_GB2312" w:hint="eastAsia"/>
                <w:spacing w:val="1"/>
                <w:sz w:val="24"/>
                <w:szCs w:val="24"/>
              </w:rPr>
              <w:t>标准</w:t>
            </w:r>
            <w:r>
              <w:rPr>
                <w:rFonts w:ascii="仿宋_GB2312" w:cs="仿宋_GB2312" w:eastAsia="仿宋_GB2312" w:hAnsi="仿宋_GB2312" w:hint="eastAsia"/>
                <w:spacing w:val="1"/>
                <w:sz w:val="24"/>
                <w:szCs w:val="24"/>
                <w:lang w:eastAsia="zh-CN"/>
              </w:rPr>
              <w:t>和</w:t>
            </w:r>
            <w:r>
              <w:rPr>
                <w:rFonts w:ascii="仿宋_GB2312" w:cs="仿宋_GB2312" w:eastAsia="仿宋_GB2312" w:hAnsi="仿宋_GB2312" w:hint="eastAsia"/>
                <w:spacing w:val="1"/>
                <w:sz w:val="24"/>
                <w:szCs w:val="24"/>
              </w:rPr>
              <w:t>概算</w:t>
            </w:r>
            <w:r>
              <w:rPr>
                <w:rFonts w:ascii="仿宋_GB2312" w:cs="仿宋_GB2312" w:eastAsia="仿宋_GB2312" w:hAnsi="仿宋_GB2312" w:hint="eastAsia"/>
                <w:spacing w:val="1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833" w:type="dxa"/>
            <w:tcBorders/>
            <w:vAlign w:val="center"/>
          </w:tcPr>
          <w:p>
            <w:pPr>
              <w:pStyle w:val="style4098"/>
              <w:spacing w:before="271" w:lineRule="auto" w:line="240"/>
              <w:jc w:val="left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1"/>
                <w:sz w:val="24"/>
                <w:szCs w:val="24"/>
                <w:lang w:eastAsia="zh-CN"/>
              </w:rPr>
              <w:t>按照批复规模、建标准实施、避免违规超概算</w:t>
            </w:r>
          </w:p>
        </w:tc>
      </w:tr>
      <w:tr>
        <w:tblPrEx/>
        <w:trPr>
          <w:trHeight w:val="714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88" w:type="dxa"/>
            <w:tcBorders/>
          </w:tcPr>
          <w:p>
            <w:pPr>
              <w:pStyle w:val="style4098"/>
              <w:spacing w:before="258" w:lineRule="auto" w:line="219"/>
              <w:ind w:left="203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-2"/>
                <w:sz w:val="24"/>
                <w:szCs w:val="24"/>
              </w:rPr>
              <w:t>监督</w:t>
            </w:r>
            <w:bookmarkStart w:id="1" w:name="_GoBack"/>
            <w:r>
              <w:rPr>
                <w:rFonts w:ascii="仿宋_GB2312" w:cs="仿宋_GB2312" w:eastAsia="仿宋_GB2312" w:hAnsi="仿宋_GB2312" w:hint="eastAsia"/>
                <w:spacing w:val="-2"/>
                <w:sz w:val="24"/>
                <w:szCs w:val="24"/>
                <w:u w:val="none" w:color="ffffff"/>
                <w:shd w:val="clear" w:color="auto" w:fill="auto"/>
              </w:rPr>
              <w:t>检查</w:t>
            </w:r>
            <w:bookmarkEnd w:id="1"/>
            <w:r>
              <w:rPr>
                <w:rFonts w:ascii="仿宋_GB2312" w:cs="仿宋_GB2312" w:eastAsia="仿宋_GB2312" w:hAnsi="仿宋_GB2312" w:hint="eastAsia"/>
                <w:spacing w:val="-2"/>
                <w:sz w:val="24"/>
                <w:szCs w:val="24"/>
              </w:rPr>
              <w:t>指标</w:t>
            </w:r>
          </w:p>
        </w:tc>
        <w:tc>
          <w:tcPr>
            <w:tcW w:w="3256" w:type="dxa"/>
            <w:tcBorders/>
          </w:tcPr>
          <w:p>
            <w:pPr>
              <w:pStyle w:val="style4098"/>
              <w:spacing w:before="119" w:lineRule="auto" w:line="257"/>
              <w:ind w:left="1414" w:right="10" w:hanging="1370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pacing w:val="2"/>
                <w:sz w:val="24"/>
                <w:szCs w:val="24"/>
              </w:rPr>
              <w:t>审计、督查、巡视等指出问题项目</w:t>
            </w:r>
            <w:r>
              <w:rPr>
                <w:rFonts w:ascii="仿宋_GB2312" w:cs="仿宋_GB2312" w:eastAsia="仿宋_GB2312" w:hAnsi="仿宋_GB2312" w:hint="eastAsia"/>
                <w:spacing w:val="8"/>
                <w:sz w:val="24"/>
                <w:szCs w:val="24"/>
              </w:rPr>
              <w:t>比例</w:t>
            </w:r>
          </w:p>
        </w:tc>
        <w:tc>
          <w:tcPr>
            <w:tcW w:w="1833" w:type="dxa"/>
            <w:tcBorders/>
          </w:tcPr>
          <w:p>
            <w:pPr>
              <w:pStyle w:val="style0"/>
              <w:spacing w:lineRule="auto" w:line="242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</w:p>
          <w:p>
            <w:pPr>
              <w:pStyle w:val="style4098"/>
              <w:spacing w:before="69" w:lineRule="auto" w:line="183"/>
              <w:ind w:left="858"/>
              <w:rPr>
                <w:rFonts w:ascii="仿宋_GB2312" w:cs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0</w:t>
            </w:r>
          </w:p>
        </w:tc>
      </w:tr>
    </w:tbl>
    <w:p>
      <w:pPr>
        <w:pStyle w:val="style0"/>
        <w:spacing w:lineRule="exact" w:line="118"/>
        <w:rPr/>
      </w:pPr>
    </w:p>
    <w:p>
      <w:pPr>
        <w:pStyle w:val="style0"/>
        <w:rPr>
          <w:rFonts w:ascii="Arial"/>
          <w:sz w:val="21"/>
        </w:rPr>
      </w:pPr>
    </w:p>
    <w:sectPr>
      <w:pgSz w:w="11910" w:h="16840" w:orient="portrait"/>
      <w:pgMar w:top="1431" w:right="1425" w:bottom="0" w:left="144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楷体">
    <w:altName w:val="方正楷体_GBK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方正楷体_GBK">
    <w:altName w:val="方正楷体_GBK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6"/>
  <w:doNotDisplayPageBoundaries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markup="f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kinsoku w:val="false"/>
      <w:autoSpaceDE w:val="false"/>
      <w:autoSpaceDN w:val="false"/>
      <w:adjustRightInd w:val="false"/>
      <w:snapToGrid w:val="false"/>
      <w:spacing w:lineRule="auto" w:line="240"/>
      <w:jc w:val="left"/>
      <w:textAlignment w:val="baseline"/>
    </w:pPr>
    <w:rPr>
      <w:rFonts w:ascii="Arial" w:cs="Arial" w:eastAsia="Arial" w:hAnsi="Arial"/>
      <w:snapToGrid w:val="false"/>
      <w:color w:val="000000"/>
      <w:kern w:val="0"/>
      <w:sz w:val="21"/>
      <w:szCs w:val="21"/>
      <w:lang w:val="en-US" w:bidi="ar-SA" w:eastAsia="en-US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7">
    <w:name w:val="Table Normal"/>
    <w:next w:val="style4097"/>
    <w:qFormat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098">
    <w:name w:val="Table Text"/>
    <w:basedOn w:val="style0"/>
    <w:next w:val="style4098"/>
    <w:qFormat/>
    <w:uiPriority w:val="0"/>
    <w:pPr/>
    <w:rPr>
      <w:rFonts w:ascii="宋体" w:cs="宋体" w:eastAsia="宋体" w:hAnsi="宋体"/>
      <w:sz w:val="21"/>
      <w:szCs w:val="21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Words>420</Words>
  <Characters>435</Characters>
  <Application>WPS Office</Application>
  <Paragraphs>85</Paragraphs>
  <ScaleCrop>false</ScaleCrop>
  <LinksUpToDate>false</LinksUpToDate>
  <CharactersWithSpaces>468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2024-01-24T00:59:00Z</dcterms:created>
  <dc:creator>Kingsoft-PDF</dc:creator>
  <lastModifiedBy>杨娟</lastModifiedBy>
  <dcterms:modified xsi:type="dcterms:W3CDTF">2025-03-17T13:58:53Z</dcterms:modified>
  <dc:subject>pdfbuilder</dc:subject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2024-01-22T16:59:18Z</vt:filetime>
  </property>
  <property fmtid="{D5CDD505-2E9C-101B-9397-08002B2CF9AE}" pid="4" name="UsrData">
    <vt:lpwstr>65ae2e64de98f5001f9eb61bwl</vt:lpwstr>
  </property>
  <property fmtid="{D5CDD505-2E9C-101B-9397-08002B2CF9AE}" pid="5" name="KSOProductBuildVer">
    <vt:lpwstr>2052-11.8.2.12125</vt:lpwstr>
  </property>
  <property fmtid="{D5CDD505-2E9C-101B-9397-08002B2CF9AE}" pid="6" name="ICV">
    <vt:lpwstr>E2DF702027371601AE57D2674BE3A2CC</vt:lpwstr>
  </property>
</Properties>
</file>