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C4D60">
      <w:pPr>
        <w:snapToGrid w:val="0"/>
        <w:spacing w:line="288" w:lineRule="auto"/>
        <w:ind w:left="0" w:leftChars="0" w:right="0" w:rightChars="0" w:firstLine="0" w:firstLineChars="0"/>
        <w:jc w:val="center"/>
        <w:rPr>
          <w:rFonts w:hint="eastAsia" w:ascii="华文中宋" w:hAnsi="华文中宋" w:eastAsia="华文中宋" w:cs="华文中宋"/>
          <w:color w:val="auto"/>
          <w:sz w:val="44"/>
          <w:szCs w:val="44"/>
        </w:rPr>
      </w:pPr>
      <w:r>
        <w:rPr>
          <w:rFonts w:hint="eastAsia" w:ascii="方正小标宋简体" w:hAnsi="方正小标宋简体" w:eastAsia="方正小标宋简体" w:cs="方正小标宋简体"/>
          <w:color w:val="auto"/>
          <w:sz w:val="44"/>
          <w:szCs w:val="44"/>
          <w:lang w:val="en-US" w:eastAsia="zh-CN"/>
        </w:rPr>
        <w:t>广东</w:t>
      </w:r>
      <w:r>
        <w:rPr>
          <w:rFonts w:hint="eastAsia" w:ascii="方正小标宋简体" w:hAnsi="方正小标宋简体" w:eastAsia="方正小标宋简体" w:cs="方正小标宋简体"/>
          <w:color w:val="auto"/>
          <w:sz w:val="44"/>
          <w:szCs w:val="44"/>
        </w:rPr>
        <w:t>省大豆完全成本</w:t>
      </w:r>
      <w:r>
        <w:rPr>
          <w:rFonts w:hint="eastAsia" w:ascii="方正小标宋简体" w:hAnsi="方正小标宋简体" w:eastAsia="方正小标宋简体" w:cs="方正小标宋简体"/>
          <w:color w:val="auto"/>
          <w:sz w:val="44"/>
          <w:szCs w:val="44"/>
          <w:lang w:eastAsia="zh-CN"/>
        </w:rPr>
        <w:t>保险</w:t>
      </w:r>
      <w:r>
        <w:rPr>
          <w:rFonts w:hint="eastAsia" w:ascii="方正小标宋简体" w:hAnsi="方正小标宋简体" w:eastAsia="方正小标宋简体" w:cs="方正小标宋简体"/>
          <w:color w:val="auto"/>
          <w:sz w:val="44"/>
          <w:szCs w:val="44"/>
          <w:lang w:val="en-US" w:eastAsia="zh-CN"/>
        </w:rPr>
        <w:t>实施</w:t>
      </w:r>
      <w:r>
        <w:rPr>
          <w:rFonts w:hint="eastAsia" w:ascii="方正小标宋简体" w:hAnsi="方正小标宋简体" w:eastAsia="方正小标宋简体" w:cs="方正小标宋简体"/>
          <w:color w:val="auto"/>
          <w:sz w:val="44"/>
          <w:szCs w:val="44"/>
        </w:rPr>
        <w:t>方案</w:t>
      </w:r>
    </w:p>
    <w:p w14:paraId="51476F4F">
      <w:pPr>
        <w:snapToGrid w:val="0"/>
        <w:spacing w:line="288" w:lineRule="auto"/>
        <w:ind w:left="0" w:firstLine="0"/>
        <w:rPr>
          <w:rFonts w:hint="default" w:ascii="Times New Roman" w:hAnsi="Times New Roman" w:eastAsia="仿宋_GB2312" w:cs="Times New Roman"/>
          <w:color w:val="auto"/>
          <w:kern w:val="2"/>
          <w:sz w:val="32"/>
          <w:szCs w:val="32"/>
        </w:rPr>
      </w:pPr>
      <w:bookmarkStart w:id="0" w:name="_Toc452048131"/>
    </w:p>
    <w:p w14:paraId="0F7901BD">
      <w:pPr>
        <w:snapToGrid w:val="0"/>
        <w:spacing w:line="356" w:lineRule="auto"/>
        <w:ind w:left="0" w:firstLine="640" w:firstLineChars="200"/>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kern w:val="2"/>
          <w:sz w:val="32"/>
          <w:szCs w:val="32"/>
          <w:lang w:val="en-US" w:eastAsia="zh-CN"/>
        </w:rPr>
        <w:t>根据</w:t>
      </w:r>
      <w:r>
        <w:rPr>
          <w:rFonts w:hint="eastAsia" w:ascii="仿宋_GB2312" w:hAnsi="仿宋_GB2312" w:eastAsia="仿宋_GB2312" w:cs="仿宋_GB2312"/>
          <w:color w:val="auto"/>
          <w:kern w:val="2"/>
          <w:sz w:val="32"/>
          <w:szCs w:val="32"/>
        </w:rPr>
        <w:t xml:space="preserve">《财政部 农业农村部 </w:t>
      </w:r>
      <w:r>
        <w:rPr>
          <w:rFonts w:hint="eastAsia" w:ascii="仿宋_GB2312" w:hAnsi="仿宋_GB2312" w:eastAsia="仿宋_GB2312" w:cs="仿宋_GB2312"/>
          <w:color w:val="auto"/>
          <w:kern w:val="2"/>
          <w:sz w:val="32"/>
          <w:szCs w:val="32"/>
          <w:lang w:val="en-US" w:eastAsia="zh-CN"/>
        </w:rPr>
        <w:t>金融监管总局</w:t>
      </w:r>
      <w:r>
        <w:rPr>
          <w:rFonts w:hint="eastAsia" w:ascii="仿宋_GB2312" w:hAnsi="仿宋_GB2312" w:eastAsia="仿宋_GB2312" w:cs="仿宋_GB2312"/>
          <w:color w:val="auto"/>
          <w:kern w:val="2"/>
          <w:sz w:val="32"/>
          <w:szCs w:val="32"/>
        </w:rPr>
        <w:t>关于</w:t>
      </w:r>
      <w:r>
        <w:rPr>
          <w:rFonts w:hint="eastAsia" w:ascii="仿宋_GB2312" w:hAnsi="仿宋_GB2312" w:eastAsia="仿宋_GB2312" w:cs="仿宋_GB2312"/>
          <w:color w:val="auto"/>
          <w:kern w:val="2"/>
          <w:sz w:val="32"/>
          <w:szCs w:val="32"/>
          <w:lang w:val="en-US" w:eastAsia="zh-CN"/>
        </w:rPr>
        <w:t>扩大大豆完全成本保险和种植收入保险政策实施范围的通知</w:t>
      </w:r>
      <w:r>
        <w:rPr>
          <w:rFonts w:hint="eastAsia" w:ascii="仿宋_GB2312" w:hAnsi="仿宋_GB2312" w:eastAsia="仿宋_GB2312" w:cs="仿宋_GB2312"/>
          <w:color w:val="auto"/>
          <w:kern w:val="2"/>
          <w:sz w:val="32"/>
          <w:szCs w:val="32"/>
        </w:rPr>
        <w:t>》（财金〔202</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3号）</w:t>
      </w:r>
      <w:r>
        <w:rPr>
          <w:rFonts w:hint="eastAsia" w:ascii="仿宋_GB2312" w:hAnsi="仿宋_GB2312" w:eastAsia="仿宋_GB2312" w:cs="仿宋_GB2312"/>
          <w:color w:val="auto"/>
          <w:kern w:val="2"/>
          <w:sz w:val="32"/>
          <w:szCs w:val="32"/>
          <w:lang w:val="en-US" w:eastAsia="zh-CN"/>
        </w:rPr>
        <w:t>精</w:t>
      </w:r>
      <w:r>
        <w:rPr>
          <w:rFonts w:hint="eastAsia" w:ascii="Times New Roman" w:hAnsi="Times New Roman" w:eastAsia="仿宋_GB2312" w:cs="Times New Roman"/>
          <w:color w:val="auto"/>
          <w:kern w:val="2"/>
          <w:sz w:val="32"/>
          <w:szCs w:val="32"/>
          <w:lang w:val="en-US" w:eastAsia="zh-CN"/>
        </w:rPr>
        <w:t>神，结合我省实际情况，在全省实施大豆完全成本保险。方案如下：</w:t>
      </w:r>
    </w:p>
    <w:p w14:paraId="36A4CF2E">
      <w:pPr>
        <w:snapToGrid w:val="0"/>
        <w:spacing w:line="356" w:lineRule="auto"/>
        <w:ind w:left="0"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实施范围和时间</w:t>
      </w:r>
    </w:p>
    <w:p w14:paraId="3DD8BD28">
      <w:pPr>
        <w:snapToGrid w:val="0"/>
        <w:spacing w:line="356" w:lineRule="auto"/>
        <w:ind w:lef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val="en-US" w:eastAsia="zh-CN"/>
        </w:rPr>
        <w:t>实施范围：广东省内军事管理区外的所有区域（含农垦）。</w:t>
      </w:r>
    </w:p>
    <w:p w14:paraId="080A60AB">
      <w:pPr>
        <w:snapToGrid w:val="0"/>
        <w:spacing w:line="356" w:lineRule="auto"/>
        <w:ind w:left="0"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（二）承保机构：</w:t>
      </w:r>
      <w:r>
        <w:rPr>
          <w:rFonts w:hint="eastAsia" w:ascii="仿宋_GB2312" w:hAnsi="仿宋_GB2312" w:eastAsia="仿宋_GB2312" w:cs="仿宋_GB2312"/>
          <w:color w:val="auto"/>
          <w:sz w:val="32"/>
          <w:szCs w:val="32"/>
          <w:lang w:val="en-US" w:eastAsia="zh-CN"/>
        </w:rPr>
        <w:t>由2024-2026年各县区政策性农业保险遴选中标种植险的承保机构进行承保，如果同个县区有两家及以上承保机构中标种植险的，均可承保。</w:t>
      </w:r>
    </w:p>
    <w:p w14:paraId="6CF7D542">
      <w:pPr>
        <w:snapToGrid w:val="0"/>
        <w:spacing w:line="356" w:lineRule="auto"/>
        <w:ind w:left="0" w:firstLine="640" w:firstLineChars="200"/>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实施时间：</w:t>
      </w:r>
      <w:r>
        <w:rPr>
          <w:rFonts w:hint="eastAsia" w:ascii="仿宋_GB2312" w:hAnsi="仿宋_GB2312" w:eastAsia="仿宋_GB2312" w:cs="仿宋_GB2312"/>
          <w:color w:val="auto"/>
          <w:sz w:val="32"/>
          <w:szCs w:val="32"/>
          <w:lang w:val="en-US" w:eastAsia="zh-CN"/>
        </w:rPr>
        <w:t>自2025年1月1日起施行。</w:t>
      </w:r>
    </w:p>
    <w:p w14:paraId="61B4C641">
      <w:pPr>
        <w:snapToGrid w:val="0"/>
        <w:spacing w:line="356" w:lineRule="auto"/>
        <w:ind w:left="0"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保险标的</w:t>
      </w:r>
    </w:p>
    <w:p w14:paraId="54512FB3">
      <w:pPr>
        <w:snapToGrid w:val="0"/>
        <w:spacing w:line="356" w:lineRule="auto"/>
        <w:ind w:lef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同时符合下列条件的大豆可作为保险标的，投保</w:t>
      </w:r>
      <w:r>
        <w:rPr>
          <w:rFonts w:hint="eastAsia" w:ascii="Times New Roman" w:hAnsi="Times New Roman" w:eastAsia="仿宋_GB2312" w:cs="Times New Roman"/>
          <w:color w:val="auto"/>
          <w:sz w:val="32"/>
          <w:szCs w:val="32"/>
          <w:lang w:val="en-US" w:eastAsia="zh-CN"/>
        </w:rPr>
        <w:t>主体</w:t>
      </w:r>
      <w:r>
        <w:rPr>
          <w:rFonts w:hint="default" w:ascii="Times New Roman" w:hAnsi="Times New Roman" w:eastAsia="仿宋_GB2312" w:cs="Times New Roman"/>
          <w:color w:val="auto"/>
          <w:sz w:val="32"/>
          <w:szCs w:val="32"/>
        </w:rPr>
        <w:t>应将符合下述条件的</w:t>
      </w:r>
      <w:r>
        <w:rPr>
          <w:rFonts w:hint="eastAsia" w:ascii="Times New Roman" w:hAnsi="Times New Roman" w:eastAsia="仿宋_GB2312" w:cs="Times New Roman"/>
          <w:color w:val="auto"/>
          <w:sz w:val="32"/>
          <w:szCs w:val="32"/>
          <w:lang w:val="en-US" w:eastAsia="zh-CN"/>
        </w:rPr>
        <w:t>种植</w:t>
      </w:r>
      <w:r>
        <w:rPr>
          <w:rFonts w:hint="default" w:ascii="Times New Roman" w:hAnsi="Times New Roman" w:eastAsia="仿宋_GB2312" w:cs="Times New Roman"/>
          <w:color w:val="auto"/>
          <w:sz w:val="32"/>
          <w:szCs w:val="32"/>
        </w:rPr>
        <w:t>大豆全部投保</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不得选择投保：</w:t>
      </w:r>
    </w:p>
    <w:p w14:paraId="7F81E788">
      <w:pPr>
        <w:snapToGrid w:val="0"/>
        <w:spacing w:line="356" w:lineRule="auto"/>
        <w:ind w:left="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（一）纳入国家粮油统计范围的大豆种类（不含用作蔬菜的毛豆）。</w:t>
      </w:r>
    </w:p>
    <w:p w14:paraId="6AAA24B3">
      <w:pPr>
        <w:snapToGrid w:val="0"/>
        <w:spacing w:line="356" w:lineRule="auto"/>
        <w:ind w:left="0"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）经过政府部门审定的合格品种，符合当地普遍采用的种植规范标准和技术管理要求</w:t>
      </w:r>
      <w:r>
        <w:rPr>
          <w:rFonts w:hint="eastAsia" w:ascii="Times New Roman" w:hAnsi="Times New Roman" w:eastAsia="仿宋_GB2312" w:cs="Times New Roman"/>
          <w:color w:val="auto"/>
          <w:sz w:val="32"/>
          <w:szCs w:val="32"/>
          <w:lang w:eastAsia="zh-CN"/>
        </w:rPr>
        <w:t>的大豆。</w:t>
      </w:r>
    </w:p>
    <w:p w14:paraId="781ABCAE">
      <w:pPr>
        <w:snapToGrid w:val="0"/>
        <w:spacing w:line="356" w:lineRule="auto"/>
        <w:ind w:lef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）种植场所在当地洪水水位线以上的非蓄洪、行洪区</w:t>
      </w:r>
      <w:r>
        <w:rPr>
          <w:rFonts w:hint="eastAsia" w:ascii="Times New Roman" w:hAnsi="Times New Roman" w:eastAsia="仿宋_GB2312" w:cs="Times New Roman"/>
          <w:color w:val="auto"/>
          <w:sz w:val="32"/>
          <w:szCs w:val="32"/>
          <w:lang w:eastAsia="zh-CN"/>
        </w:rPr>
        <w:t>的大豆。</w:t>
      </w:r>
    </w:p>
    <w:p w14:paraId="515F458A">
      <w:pPr>
        <w:snapToGrid w:val="0"/>
        <w:spacing w:line="356" w:lineRule="auto"/>
        <w:ind w:lef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）生长和管理正常</w:t>
      </w:r>
      <w:r>
        <w:rPr>
          <w:rFonts w:hint="eastAsia" w:ascii="Times New Roman" w:hAnsi="Times New Roman" w:eastAsia="仿宋_GB2312" w:cs="Times New Roman"/>
          <w:color w:val="auto"/>
          <w:sz w:val="32"/>
          <w:szCs w:val="32"/>
          <w:lang w:eastAsia="zh-CN"/>
        </w:rPr>
        <w:t>的大豆</w:t>
      </w:r>
      <w:r>
        <w:rPr>
          <w:rFonts w:hint="default" w:ascii="Times New Roman" w:hAnsi="Times New Roman" w:eastAsia="仿宋_GB2312" w:cs="Times New Roman"/>
          <w:color w:val="auto"/>
          <w:sz w:val="32"/>
          <w:szCs w:val="32"/>
        </w:rPr>
        <w:t>。</w:t>
      </w:r>
    </w:p>
    <w:p w14:paraId="58D6C71D">
      <w:pPr>
        <w:snapToGrid w:val="0"/>
        <w:spacing w:line="356" w:lineRule="auto"/>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与大豆间种或套种的其他作物，不属于本保险合同的保险标的。</w:t>
      </w:r>
    </w:p>
    <w:p w14:paraId="638641E3">
      <w:pPr>
        <w:snapToGrid w:val="0"/>
        <w:spacing w:line="356" w:lineRule="auto"/>
        <w:ind w:left="0"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投保主体</w:t>
      </w:r>
    </w:p>
    <w:p w14:paraId="67B93B77">
      <w:pPr>
        <w:snapToGrid w:val="0"/>
        <w:spacing w:line="356" w:lineRule="auto"/>
        <w:ind w:left="0" w:firstLine="640" w:firstLineChars="200"/>
        <w:rPr>
          <w:rFonts w:hint="default" w:ascii="Times New Roman" w:hAnsi="Times New Roman" w:eastAsia="楷体_GB2312" w:cs="Times New Roman"/>
          <w:color w:val="auto"/>
          <w:sz w:val="32"/>
          <w:szCs w:val="32"/>
        </w:rPr>
      </w:pPr>
      <w:r>
        <w:rPr>
          <w:rFonts w:hint="eastAsia" w:ascii="Times New Roman" w:hAnsi="Times New Roman" w:eastAsia="仿宋_GB2312" w:cs="Times New Roman"/>
          <w:color w:val="auto"/>
          <w:sz w:val="32"/>
          <w:szCs w:val="32"/>
          <w:lang w:val="en-US" w:eastAsia="zh-CN"/>
        </w:rPr>
        <w:t>在我省种植大豆的生产经营主体，含规模生产经营主体和小农户</w:t>
      </w:r>
      <w:r>
        <w:rPr>
          <w:rFonts w:hint="default" w:ascii="Times New Roman" w:hAnsi="Times New Roman" w:eastAsia="仿宋_GB2312" w:cs="Times New Roman"/>
          <w:color w:val="auto"/>
          <w:sz w:val="32"/>
          <w:szCs w:val="32"/>
        </w:rPr>
        <w:t>。</w:t>
      </w:r>
    </w:p>
    <w:p w14:paraId="696A16F8">
      <w:pPr>
        <w:snapToGrid w:val="0"/>
        <w:spacing w:line="356" w:lineRule="auto"/>
        <w:ind w:left="0"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保险责任</w:t>
      </w:r>
    </w:p>
    <w:p w14:paraId="332D7669">
      <w:pPr>
        <w:snapToGrid w:val="0"/>
        <w:spacing w:line="356" w:lineRule="auto"/>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在保险期间内，由于下列原因直接造成保险大豆损失，且损失率达到15%（含）以上的，保险人按照本保险合同的约定负责赔偿：</w:t>
      </w:r>
    </w:p>
    <w:p w14:paraId="774551D4">
      <w:pPr>
        <w:snapToGrid w:val="0"/>
        <w:spacing w:line="356" w:lineRule="auto"/>
        <w:ind w:left="0"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（一）暴雨、洪水（政府行蓄洪除外）、内涝、风灾、冰雹、冻灾、低温寒害、雷击、旱灾、地震、泥石流。</w:t>
      </w:r>
    </w:p>
    <w:p w14:paraId="06D74F61">
      <w:pPr>
        <w:snapToGrid w:val="0"/>
        <w:spacing w:line="356" w:lineRule="auto"/>
        <w:ind w:left="0"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（二）山体滑坡、火灾、崖崩、爆炸、建筑物倒塌、空中运行物体坠落。</w:t>
      </w:r>
    </w:p>
    <w:p w14:paraId="6D15EA29">
      <w:pPr>
        <w:snapToGrid w:val="0"/>
        <w:spacing w:line="356" w:lineRule="auto"/>
        <w:ind w:left="0"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（三）重大病虫鼠害。</w:t>
      </w:r>
    </w:p>
    <w:p w14:paraId="45E43F8F">
      <w:pPr>
        <w:snapToGrid w:val="0"/>
        <w:spacing w:line="356" w:lineRule="auto"/>
        <w:ind w:left="0" w:firstLine="640" w:firstLineChars="200"/>
        <w:rPr>
          <w:rFonts w:hint="default" w:ascii="Times New Roman" w:hAnsi="Times New Roman" w:eastAsia="楷体_GB2312" w:cs="Times New Roman"/>
          <w:color w:val="auto"/>
          <w:sz w:val="32"/>
          <w:szCs w:val="32"/>
        </w:rPr>
      </w:pPr>
      <w:r>
        <w:rPr>
          <w:rFonts w:hint="eastAsia" w:ascii="Times New Roman" w:hAnsi="Times New Roman" w:eastAsia="仿宋_GB2312" w:cs="Times New Roman"/>
          <w:color w:val="auto"/>
          <w:sz w:val="32"/>
          <w:szCs w:val="32"/>
          <w:lang w:val="en-US" w:eastAsia="zh-CN"/>
        </w:rPr>
        <w:t>（四）野生动物毁损。</w:t>
      </w:r>
    </w:p>
    <w:p w14:paraId="1E24B85D">
      <w:pPr>
        <w:snapToGrid w:val="0"/>
        <w:spacing w:line="356" w:lineRule="auto"/>
        <w:ind w:left="0" w:firstLine="640" w:firstLineChars="200"/>
        <w:rPr>
          <w:rFonts w:hint="default" w:ascii="Times New Roman" w:hAnsi="Times New Roman" w:eastAsia="楷体_GB2312" w:cs="Times New Roman"/>
          <w:color w:val="auto"/>
          <w:sz w:val="32"/>
          <w:szCs w:val="32"/>
          <w:lang w:val="en-US"/>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保险期限</w:t>
      </w:r>
    </w:p>
    <w:p w14:paraId="6D279A16">
      <w:pPr>
        <w:snapToGrid w:val="0"/>
        <w:spacing w:line="356" w:lineRule="auto"/>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自保险大豆苗齐起，至成熟</w:t>
      </w:r>
      <w:r>
        <w:rPr>
          <w:rFonts w:hint="eastAsia" w:ascii="Times New Roman" w:hAnsi="Times New Roman" w:eastAsia="仿宋_GB2312" w:cs="Times New Roman"/>
          <w:color w:val="auto"/>
          <w:sz w:val="32"/>
          <w:szCs w:val="32"/>
          <w:highlight w:val="none"/>
          <w:lang w:eastAsia="zh-CN"/>
        </w:rPr>
        <w:t>（收割）</w:t>
      </w:r>
      <w:r>
        <w:rPr>
          <w:rFonts w:hint="default" w:ascii="Times New Roman" w:hAnsi="Times New Roman" w:eastAsia="仿宋_GB2312" w:cs="Times New Roman"/>
          <w:color w:val="auto"/>
          <w:sz w:val="32"/>
          <w:szCs w:val="32"/>
          <w:highlight w:val="none"/>
        </w:rPr>
        <w:t>时止。</w:t>
      </w:r>
    </w:p>
    <w:p w14:paraId="3FE80330">
      <w:pPr>
        <w:snapToGrid w:val="0"/>
        <w:spacing w:line="356" w:lineRule="auto"/>
        <w:ind w:left="0"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参考</w:t>
      </w:r>
      <w:r>
        <w:rPr>
          <w:rFonts w:hint="eastAsia" w:ascii="Times New Roman" w:hAnsi="Times New Roman" w:eastAsia="黑体" w:cs="Times New Roman"/>
          <w:color w:val="auto"/>
          <w:sz w:val="32"/>
          <w:szCs w:val="32"/>
          <w:lang w:val="en-US" w:eastAsia="zh-CN"/>
        </w:rPr>
        <w:t>保费、保险金额及费率</w:t>
      </w:r>
    </w:p>
    <w:p w14:paraId="144D44A1">
      <w:pPr>
        <w:snapToGrid w:val="0"/>
        <w:spacing w:line="356" w:lineRule="auto"/>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每亩保险金额参照保险大豆生长期内所发生的种植总成本（包括种子成本、化肥成本、农药成本、灌溉成本、机耕成本、地膜成本、地租成本、人力成本等）确定，最高不超过保险大豆种植产值的80%，参考</w:t>
      </w:r>
      <w:r>
        <w:rPr>
          <w:rFonts w:hint="eastAsia" w:ascii="仿宋_GB2312" w:hAnsi="仿宋_GB2312" w:eastAsia="仿宋_GB2312" w:cs="仿宋_GB2312"/>
          <w:color w:val="auto"/>
          <w:sz w:val="32"/>
          <w:szCs w:val="32"/>
          <w:lang w:val="en-US" w:eastAsia="zh-CN"/>
        </w:rPr>
        <w:t>保险金额600元/亩</w:t>
      </w:r>
      <w:r>
        <w:rPr>
          <w:rFonts w:hint="eastAsia" w:ascii="仿宋_GB2312" w:hAnsi="仿宋_GB2312" w:eastAsia="仿宋_GB2312" w:cs="仿宋_GB2312"/>
          <w:color w:val="auto"/>
          <w:sz w:val="32"/>
          <w:szCs w:val="32"/>
          <w:lang w:eastAsia="zh-CN"/>
        </w:rPr>
        <w:t>。</w:t>
      </w:r>
    </w:p>
    <w:p w14:paraId="5386E03D">
      <w:pPr>
        <w:snapToGrid w:val="0"/>
        <w:spacing w:line="356" w:lineRule="auto"/>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保险金额（元）=每亩保险金额（元/亩）×保险面积（亩）</w:t>
      </w:r>
    </w:p>
    <w:p w14:paraId="2ED62086">
      <w:pPr>
        <w:snapToGrid w:val="0"/>
        <w:spacing w:line="356" w:lineRule="auto"/>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参考保险费率5.5%，参考</w:t>
      </w:r>
      <w:r>
        <w:rPr>
          <w:rFonts w:hint="eastAsia" w:ascii="仿宋_GB2312" w:hAnsi="仿宋_GB2312" w:eastAsia="仿宋_GB2312" w:cs="仿宋_GB2312"/>
          <w:color w:val="auto"/>
          <w:sz w:val="32"/>
          <w:szCs w:val="32"/>
          <w:lang w:val="en-US" w:eastAsia="zh-CN"/>
        </w:rPr>
        <w:t>保险费33元/亩。</w:t>
      </w:r>
    </w:p>
    <w:p w14:paraId="7DFC468B">
      <w:pPr>
        <w:snapToGrid w:val="0"/>
        <w:spacing w:line="356" w:lineRule="auto"/>
        <w:ind w:left="0"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保险面积以保险单载明为准。</w:t>
      </w:r>
    </w:p>
    <w:p w14:paraId="36B3BB8E">
      <w:pPr>
        <w:snapToGrid w:val="0"/>
        <w:spacing w:line="356" w:lineRule="auto"/>
        <w:ind w:left="0"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后续省级将根据实际执行情况动态参考调整保费、保险金额及费</w:t>
      </w:r>
      <w:r>
        <w:rPr>
          <w:rFonts w:hint="eastAsia" w:ascii="仿宋_GB2312" w:hAnsi="仿宋_GB2312" w:eastAsia="仿宋_GB2312" w:cs="仿宋_GB2312"/>
          <w:color w:val="auto"/>
          <w:sz w:val="32"/>
          <w:szCs w:val="32"/>
          <w:highlight w:val="none"/>
          <w:lang w:val="en-US" w:eastAsia="zh-CN"/>
        </w:rPr>
        <w:t>率。</w:t>
      </w:r>
      <w:r>
        <w:rPr>
          <w:rFonts w:hint="eastAsia" w:ascii="仿宋_GB2312" w:hAnsi="仿宋_GB2312" w:eastAsia="仿宋_GB2312" w:cs="仿宋_GB2312"/>
          <w:color w:val="auto"/>
          <w:sz w:val="32"/>
          <w:szCs w:val="32"/>
          <w:lang w:val="en-US" w:eastAsia="zh-CN"/>
        </w:rPr>
        <w:t>各地可结合本地实际情况，在不降低保障水平的前提下，对险种的保险费率等进行优化。</w:t>
      </w:r>
    </w:p>
    <w:p w14:paraId="1C565B30">
      <w:pPr>
        <w:snapToGrid w:val="0"/>
        <w:spacing w:line="356" w:lineRule="auto"/>
        <w:ind w:left="0"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赔偿处理</w:t>
      </w:r>
    </w:p>
    <w:p w14:paraId="53003D6D">
      <w:pPr>
        <w:snapToGrid w:val="0"/>
        <w:spacing w:line="356" w:lineRule="auto"/>
        <w:ind w:left="0" w:firstLine="643"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全部损失</w:t>
      </w:r>
    </w:p>
    <w:p w14:paraId="60FD76B8">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保险大豆发生保险责任范围内的损失，损失程度在80%（含）以上的，即视为全部损失，保险人按以下方式计算赔偿：</w:t>
      </w:r>
    </w:p>
    <w:p w14:paraId="342A36A7">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赔偿金额=保险大豆不同生长期的赔偿标</w:t>
      </w:r>
      <w:bookmarkStart w:id="1" w:name="_GoBack"/>
      <w:bookmarkEnd w:id="1"/>
      <w:r>
        <w:rPr>
          <w:rFonts w:hint="eastAsia" w:ascii="仿宋_GB2312" w:hAnsi="仿宋_GB2312" w:eastAsia="仿宋_GB2312" w:cs="仿宋_GB2312"/>
          <w:color w:val="auto"/>
          <w:sz w:val="32"/>
          <w:szCs w:val="32"/>
          <w:highlight w:val="none"/>
        </w:rPr>
        <w:t>准×</w:t>
      </w:r>
      <w:r>
        <w:rPr>
          <w:rFonts w:hint="eastAsia" w:ascii="仿宋_GB2312" w:hAnsi="仿宋_GB2312" w:eastAsia="仿宋_GB2312" w:cs="仿宋_GB2312"/>
          <w:color w:val="auto"/>
          <w:sz w:val="32"/>
          <w:szCs w:val="32"/>
          <w:highlight w:val="none"/>
          <w:lang w:eastAsia="zh-CN"/>
        </w:rPr>
        <w:t>受损</w:t>
      </w:r>
      <w:r>
        <w:rPr>
          <w:rFonts w:hint="eastAsia" w:ascii="仿宋_GB2312" w:hAnsi="仿宋_GB2312" w:eastAsia="仿宋_GB2312" w:cs="仿宋_GB2312"/>
          <w:color w:val="auto"/>
          <w:sz w:val="32"/>
          <w:szCs w:val="32"/>
          <w:highlight w:val="none"/>
        </w:rPr>
        <w:t>面积</w:t>
      </w:r>
    </w:p>
    <w:p w14:paraId="28F1B67D">
      <w:pPr>
        <w:snapToGrid w:val="0"/>
        <w:spacing w:line="356" w:lineRule="auto"/>
        <w:ind w:left="0" w:firstLine="643"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部分损失</w:t>
      </w:r>
    </w:p>
    <w:p w14:paraId="300F762A">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保险大豆的损失率在15%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以上至80%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以下时，保险人按以下方式计算赔偿：</w:t>
      </w:r>
    </w:p>
    <w:p w14:paraId="4DE992B9">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赔偿金额=保险大豆不同生长期每亩赔偿标准×损失率×受损面积</w:t>
      </w:r>
    </w:p>
    <w:p w14:paraId="54E00C37">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损失率=单位面积平均植株损失数量/单位面积平均植株数量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或损失率=平均单位面积损失产量/平均单位面积标准产量</w:t>
      </w:r>
    </w:p>
    <w:p w14:paraId="6CC02E0A">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单位面积平均植株数量根据实际种植株数确定，由投保人和保险人协商确定，并在保险单中载明。</w:t>
      </w:r>
    </w:p>
    <w:p w14:paraId="65F732FC">
      <w:pPr>
        <w:snapToGrid w:val="0"/>
        <w:spacing w:line="356" w:lineRule="auto"/>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平均单位面积标准产量按照保险大豆所在县前三年该作物单位面积平均产量，结合不同作物品种、管理方式，由投保人与保险人协商确定，并在保单中载明。</w:t>
      </w:r>
    </w:p>
    <w:p w14:paraId="46E372B9">
      <w:pPr>
        <w:snapToGrid w:val="0"/>
        <w:spacing w:line="356" w:lineRule="auto"/>
        <w:ind w:left="0" w:firstLine="0"/>
        <w:jc w:val="center"/>
        <w:rPr>
          <w:rFonts w:hint="default" w:ascii="Times New Roman" w:hAnsi="Times New Roman" w:eastAsia="楷体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保险</w:t>
      </w:r>
      <w:r>
        <w:rPr>
          <w:rFonts w:hint="default" w:ascii="Times New Roman" w:hAnsi="Times New Roman" w:eastAsia="仿宋_GB2312" w:cs="Times New Roman"/>
          <w:b/>
          <w:bCs/>
          <w:color w:val="auto"/>
          <w:sz w:val="32"/>
          <w:szCs w:val="32"/>
          <w:highlight w:val="none"/>
        </w:rPr>
        <w:t>大豆不同生长期</w:t>
      </w:r>
      <w:r>
        <w:rPr>
          <w:rFonts w:hint="eastAsia" w:ascii="Times New Roman" w:hAnsi="Times New Roman" w:eastAsia="仿宋_GB2312" w:cs="Times New Roman"/>
          <w:b/>
          <w:bCs/>
          <w:color w:val="auto"/>
          <w:sz w:val="32"/>
          <w:szCs w:val="32"/>
          <w:highlight w:val="none"/>
          <w:lang w:val="en-US" w:eastAsia="zh-CN"/>
        </w:rPr>
        <w:t>的</w:t>
      </w:r>
      <w:r>
        <w:rPr>
          <w:rFonts w:hint="default" w:ascii="Times New Roman" w:hAnsi="Times New Roman" w:eastAsia="仿宋_GB2312" w:cs="Times New Roman"/>
          <w:b/>
          <w:bCs/>
          <w:color w:val="auto"/>
          <w:sz w:val="32"/>
          <w:szCs w:val="32"/>
          <w:highlight w:val="none"/>
        </w:rPr>
        <w:t>赔偿标准</w:t>
      </w:r>
    </w:p>
    <w:tbl>
      <w:tblPr>
        <w:tblStyle w:val="6"/>
        <w:tblW w:w="4999" w:type="pct"/>
        <w:jc w:val="center"/>
        <w:tblLayout w:type="autofit"/>
        <w:tblCellMar>
          <w:top w:w="0" w:type="dxa"/>
          <w:left w:w="0" w:type="dxa"/>
          <w:bottom w:w="0" w:type="dxa"/>
          <w:right w:w="0" w:type="dxa"/>
        </w:tblCellMar>
      </w:tblPr>
      <w:tblGrid>
        <w:gridCol w:w="4439"/>
        <w:gridCol w:w="4541"/>
      </w:tblGrid>
      <w:tr w14:paraId="7AB1445E">
        <w:tblPrEx>
          <w:tblCellMar>
            <w:top w:w="0" w:type="dxa"/>
            <w:left w:w="0" w:type="dxa"/>
            <w:bottom w:w="0" w:type="dxa"/>
            <w:right w:w="0" w:type="dxa"/>
          </w:tblCellMar>
        </w:tblPrEx>
        <w:trPr>
          <w:trHeight w:val="269" w:hRule="atLeast"/>
          <w:jc w:val="center"/>
        </w:trPr>
        <w:tc>
          <w:tcPr>
            <w:tcW w:w="24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88A910">
            <w:pPr>
              <w:snapToGrid w:val="0"/>
              <w:spacing w:line="356" w:lineRule="auto"/>
              <w:ind w:left="0" w:leftChars="0" w:right="0" w:rightChars="0" w:firstLine="0" w:firstLineChars="0"/>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生育期</w:t>
            </w:r>
          </w:p>
        </w:tc>
        <w:tc>
          <w:tcPr>
            <w:tcW w:w="25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632513">
            <w:pPr>
              <w:snapToGrid w:val="0"/>
              <w:spacing w:line="356" w:lineRule="auto"/>
              <w:ind w:left="0" w:leftChars="0" w:right="0" w:rightChars="0" w:firstLine="0" w:firstLineChars="0"/>
              <w:jc w:val="center"/>
              <w:textAlignment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赔偿标准</w:t>
            </w:r>
          </w:p>
        </w:tc>
      </w:tr>
      <w:tr w14:paraId="4CE7B863">
        <w:tblPrEx>
          <w:tblCellMar>
            <w:top w:w="0" w:type="dxa"/>
            <w:left w:w="0" w:type="dxa"/>
            <w:bottom w:w="0" w:type="dxa"/>
            <w:right w:w="0" w:type="dxa"/>
          </w:tblCellMar>
        </w:tblPrEx>
        <w:trPr>
          <w:trHeight w:val="312" w:hRule="atLeast"/>
          <w:jc w:val="center"/>
        </w:trPr>
        <w:tc>
          <w:tcPr>
            <w:tcW w:w="24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AD4FC3">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苗齐</w:t>
            </w:r>
            <w:r>
              <w:rPr>
                <w:rFonts w:hint="eastAsia" w:ascii="仿宋_GB2312" w:hAnsi="仿宋_GB2312" w:eastAsia="仿宋_GB2312" w:cs="仿宋_GB2312"/>
                <w:b w:val="0"/>
                <w:bCs w:val="0"/>
                <w:color w:val="auto"/>
                <w:sz w:val="28"/>
                <w:szCs w:val="28"/>
                <w:highlight w:val="none"/>
              </w:rPr>
              <w:t>—开花期前</w:t>
            </w:r>
          </w:p>
        </w:tc>
        <w:tc>
          <w:tcPr>
            <w:tcW w:w="25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27D7E2">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每亩保险金额×</w:t>
            </w: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0%</w:t>
            </w:r>
          </w:p>
        </w:tc>
      </w:tr>
      <w:tr w14:paraId="29E6FB98">
        <w:tblPrEx>
          <w:tblCellMar>
            <w:top w:w="0" w:type="dxa"/>
            <w:left w:w="0" w:type="dxa"/>
            <w:bottom w:w="0" w:type="dxa"/>
            <w:right w:w="0" w:type="dxa"/>
          </w:tblCellMar>
        </w:tblPrEx>
        <w:trPr>
          <w:trHeight w:val="312" w:hRule="atLeast"/>
          <w:jc w:val="center"/>
        </w:trPr>
        <w:tc>
          <w:tcPr>
            <w:tcW w:w="24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8AD42A">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开花期—</w:t>
            </w:r>
            <w:r>
              <w:rPr>
                <w:rFonts w:hint="eastAsia" w:ascii="仿宋_GB2312" w:hAnsi="仿宋_GB2312" w:eastAsia="仿宋_GB2312" w:cs="仿宋_GB2312"/>
                <w:b w:val="0"/>
                <w:bCs w:val="0"/>
                <w:color w:val="auto"/>
                <w:sz w:val="28"/>
                <w:szCs w:val="28"/>
                <w:highlight w:val="none"/>
                <w:lang w:eastAsia="zh-CN"/>
              </w:rPr>
              <w:t>结荚鼓粒期</w:t>
            </w:r>
            <w:r>
              <w:rPr>
                <w:rFonts w:hint="eastAsia" w:ascii="仿宋_GB2312" w:hAnsi="仿宋_GB2312" w:eastAsia="仿宋_GB2312" w:cs="仿宋_GB2312"/>
                <w:b w:val="0"/>
                <w:bCs w:val="0"/>
                <w:color w:val="auto"/>
                <w:sz w:val="28"/>
                <w:szCs w:val="28"/>
                <w:highlight w:val="none"/>
              </w:rPr>
              <w:t>前</w:t>
            </w:r>
          </w:p>
        </w:tc>
        <w:tc>
          <w:tcPr>
            <w:tcW w:w="25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337D6C">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每亩保险金额×</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w:t>
            </w:r>
          </w:p>
        </w:tc>
      </w:tr>
      <w:tr w14:paraId="322FED45">
        <w:tblPrEx>
          <w:tblCellMar>
            <w:top w:w="0" w:type="dxa"/>
            <w:left w:w="0" w:type="dxa"/>
            <w:bottom w:w="0" w:type="dxa"/>
            <w:right w:w="0" w:type="dxa"/>
          </w:tblCellMar>
        </w:tblPrEx>
        <w:trPr>
          <w:trHeight w:val="312" w:hRule="atLeast"/>
          <w:jc w:val="center"/>
        </w:trPr>
        <w:tc>
          <w:tcPr>
            <w:tcW w:w="24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FF755A">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结荚鼓粒期</w:t>
            </w:r>
            <w:r>
              <w:rPr>
                <w:rFonts w:hint="eastAsia" w:ascii="仿宋_GB2312" w:hAnsi="仿宋_GB2312" w:eastAsia="仿宋_GB2312" w:cs="仿宋_GB2312"/>
                <w:b w:val="0"/>
                <w:bCs w:val="0"/>
                <w:color w:val="auto"/>
                <w:sz w:val="28"/>
                <w:szCs w:val="28"/>
                <w:highlight w:val="none"/>
              </w:rPr>
              <w:t>—成熟期</w:t>
            </w:r>
            <w:r>
              <w:rPr>
                <w:rFonts w:hint="eastAsia" w:ascii="仿宋_GB2312" w:hAnsi="仿宋_GB2312" w:eastAsia="仿宋_GB2312" w:cs="仿宋_GB2312"/>
                <w:b w:val="0"/>
                <w:bCs w:val="0"/>
                <w:color w:val="auto"/>
                <w:sz w:val="28"/>
                <w:szCs w:val="28"/>
                <w:highlight w:val="none"/>
                <w:lang w:eastAsia="zh-CN"/>
              </w:rPr>
              <w:t>前</w:t>
            </w:r>
          </w:p>
        </w:tc>
        <w:tc>
          <w:tcPr>
            <w:tcW w:w="25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55536B">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每亩保险金额×</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0%</w:t>
            </w:r>
          </w:p>
        </w:tc>
      </w:tr>
      <w:tr w14:paraId="24A837BA">
        <w:tblPrEx>
          <w:tblCellMar>
            <w:top w:w="0" w:type="dxa"/>
            <w:left w:w="0" w:type="dxa"/>
            <w:bottom w:w="0" w:type="dxa"/>
            <w:right w:w="0" w:type="dxa"/>
          </w:tblCellMar>
        </w:tblPrEx>
        <w:trPr>
          <w:trHeight w:val="312" w:hRule="atLeast"/>
          <w:jc w:val="center"/>
        </w:trPr>
        <w:tc>
          <w:tcPr>
            <w:tcW w:w="24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ED319">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成熟期</w:t>
            </w:r>
          </w:p>
        </w:tc>
        <w:tc>
          <w:tcPr>
            <w:tcW w:w="252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D06240">
            <w:pPr>
              <w:snapToGrid w:val="0"/>
              <w:spacing w:line="356" w:lineRule="auto"/>
              <w:ind w:left="0" w:leftChars="0" w:firstLine="0" w:firstLine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每亩保险金额×</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0%</w:t>
            </w:r>
          </w:p>
        </w:tc>
      </w:tr>
    </w:tbl>
    <w:p w14:paraId="4E9B6B09">
      <w:pPr>
        <w:snapToGrid w:val="0"/>
        <w:spacing w:line="356" w:lineRule="auto"/>
        <w:ind w:left="0"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保费补贴标准和补贴比例</w:t>
      </w:r>
    </w:p>
    <w:p w14:paraId="569FB6C6">
      <w:pPr>
        <w:snapToGrid w:val="0"/>
        <w:spacing w:line="356" w:lineRule="auto"/>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种植户负担25%，</w:t>
      </w:r>
      <w:r>
        <w:rPr>
          <w:rFonts w:hint="eastAsia" w:ascii="仿宋_GB2312" w:hAnsi="仿宋_GB2312" w:eastAsia="仿宋_GB2312" w:cs="仿宋_GB2312"/>
          <w:color w:val="auto"/>
          <w:sz w:val="32"/>
          <w:szCs w:val="32"/>
          <w:highlight w:val="none"/>
          <w:lang w:val="en-US" w:eastAsia="zh-CN"/>
        </w:rPr>
        <w:t>原则上</w:t>
      </w:r>
      <w:r>
        <w:rPr>
          <w:rFonts w:hint="eastAsia" w:ascii="仿宋_GB2312" w:hAnsi="仿宋_GB2312" w:eastAsia="仿宋_GB2312" w:cs="仿宋_GB2312"/>
          <w:color w:val="auto"/>
          <w:sz w:val="32"/>
          <w:szCs w:val="32"/>
          <w:lang w:val="en-US" w:eastAsia="zh-CN"/>
        </w:rPr>
        <w:t>中央财政补贴35%。1类地区由市县财政补贴40%；2类地区由</w:t>
      </w:r>
      <w:r>
        <w:rPr>
          <w:rFonts w:hint="default" w:ascii="仿宋_GB2312" w:hAnsi="仿宋_GB2312" w:eastAsia="仿宋_GB2312" w:cs="仿宋_GB2312"/>
          <w:sz w:val="32"/>
          <w:szCs w:val="32"/>
          <w:lang w:val="en-US" w:eastAsia="zh-CN"/>
        </w:rPr>
        <w:t>省级财政</w:t>
      </w:r>
      <w:r>
        <w:rPr>
          <w:rFonts w:hint="eastAsia" w:ascii="仿宋_GB2312" w:hAnsi="仿宋_GB2312" w:eastAsia="仿宋_GB2312" w:cs="仿宋_GB2312"/>
          <w:color w:val="auto"/>
          <w:sz w:val="32"/>
          <w:szCs w:val="32"/>
          <w:lang w:val="en-US" w:eastAsia="zh-CN"/>
        </w:rPr>
        <w:t>补贴30%，市县财政补贴10%。市级补贴比例原则上不得低于县级补贴比例，各地可结合本地实际情况对保费分担比例等进行优化。</w:t>
      </w:r>
    </w:p>
    <w:p w14:paraId="39D273DC">
      <w:pPr>
        <w:snapToGrid w:val="0"/>
        <w:spacing w:line="356" w:lineRule="auto"/>
        <w:ind w:left="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享受省级财政补贴政策差异，分为两类区域。其中，广州、珠海、佛山、东莞、中山、江门（恩平、台山、开平、鹤山除外）为1类地区；汕头、韶关、河源、梅州、惠州、汕尾、阳江、湛江、茂名、肇庆、清远、潮州、揭阳、云浮，以及江门的恩平、台山、开平、鹤山为2类地区。</w:t>
      </w:r>
      <w:bookmarkEnd w:id="0"/>
    </w:p>
    <w:sectPr>
      <w:footerReference r:id="rId3" w:type="default"/>
      <w:footerReference r:id="rId4" w:type="even"/>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sReSans">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9F1D">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26F671">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3926F67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EF1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6A4FC3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
      <w:lvlText w:val="%1."/>
      <w:lvlJc w:val="left"/>
      <w:pPr>
        <w:ind w:left="360" w:hanging="360"/>
      </w:pPr>
      <w:rPr>
        <w:rFonts w:cs="Times New Roman"/>
      </w:rPr>
    </w:lvl>
    <w:lvl w:ilvl="1" w:tentative="0">
      <w:start w:val="1"/>
      <w:numFmt w:val="decimal"/>
      <w:lvlText w:val="%1.%2."/>
      <w:lvlJc w:val="left"/>
      <w:pPr>
        <w:ind w:left="716" w:hanging="432"/>
      </w:pPr>
      <w:rPr>
        <w:rFonts w:cs="Times New Roman"/>
      </w:rPr>
    </w:lvl>
    <w:lvl w:ilvl="2" w:tentative="0">
      <w:start w:val="1"/>
      <w:numFmt w:val="decimal"/>
      <w:lvlText w:val="%1.%2.%3."/>
      <w:lvlJc w:val="left"/>
      <w:pPr>
        <w:ind w:left="1224" w:hanging="504"/>
      </w:pPr>
      <w:rPr>
        <w:rFonts w:cs="Times New Roman"/>
      </w:rPr>
    </w:lvl>
    <w:lvl w:ilvl="3" w:tentative="0">
      <w:start w:val="1"/>
      <w:numFmt w:val="decimal"/>
      <w:lvlText w:val="%1.%2.%3.%4."/>
      <w:lvlJc w:val="left"/>
      <w:pPr>
        <w:ind w:left="1728" w:hanging="648"/>
      </w:pPr>
      <w:rPr>
        <w:rFonts w:cs="Times New Roman"/>
      </w:rPr>
    </w:lvl>
    <w:lvl w:ilvl="4" w:tentative="0">
      <w:start w:val="1"/>
      <w:numFmt w:val="decimal"/>
      <w:lvlText w:val="%1.%2.%3.%4.%5."/>
      <w:lvlJc w:val="left"/>
      <w:pPr>
        <w:ind w:left="2232"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1549"/>
    <w:rsid w:val="0D4F3E61"/>
    <w:rsid w:val="0E9901B8"/>
    <w:rsid w:val="2FD00863"/>
    <w:rsid w:val="4551593B"/>
    <w:rsid w:val="4E796078"/>
    <w:rsid w:val="FA579373"/>
    <w:rsid w:val="FCFF4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426" w:firstLine="425"/>
      <w:contextualSpacing/>
      <w:jc w:val="both"/>
    </w:pPr>
    <w:rPr>
      <w:rFonts w:ascii="SwissReSans" w:hAnsi="SwissReSans" w:eastAsia="宋体" w:cs="SwissReSans"/>
      <w:sz w:val="22"/>
      <w:szCs w:val="22"/>
      <w:lang w:val="en-US" w:eastAsia="zh-CN" w:bidi="ar-SA"/>
    </w:rPr>
  </w:style>
  <w:style w:type="paragraph" w:styleId="2">
    <w:name w:val="heading 1"/>
    <w:basedOn w:val="1"/>
    <w:next w:val="1"/>
    <w:link w:val="9"/>
    <w:qFormat/>
    <w:uiPriority w:val="0"/>
    <w:pPr>
      <w:keepNext/>
      <w:keepLines/>
      <w:numPr>
        <w:ilvl w:val="0"/>
        <w:numId w:val="1"/>
      </w:numPr>
      <w:spacing w:before="480"/>
      <w:outlineLvl w:val="0"/>
    </w:pPr>
    <w:rPr>
      <w:b/>
      <w:bCs/>
      <w:color w:val="2E74B5"/>
      <w:sz w:val="28"/>
      <w:szCs w:val="28"/>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SwissReSans" w:hAnsi="SwissReSans" w:eastAsia="宋体" w:cs="SwissReSans"/>
      <w:b/>
      <w:bCs/>
      <w:color w:val="2E74B5"/>
      <w:sz w:val="28"/>
      <w:szCs w:val="28"/>
      <w:lang w:val="en-US" w:eastAsia="zh-CN" w:bidi="ar-SA"/>
    </w:rPr>
  </w:style>
  <w:style w:type="character" w:customStyle="1" w:styleId="10">
    <w:name w:val="批注框文本 Char"/>
    <w:basedOn w:val="7"/>
    <w:link w:val="3"/>
    <w:qFormat/>
    <w:uiPriority w:val="0"/>
    <w:rPr>
      <w:rFonts w:ascii="SwissReSans" w:hAnsi="SwissReSans" w:cs="SwissReSans"/>
      <w:sz w:val="18"/>
      <w:szCs w:val="18"/>
    </w:rPr>
  </w:style>
  <w:style w:type="character" w:customStyle="1" w:styleId="11">
    <w:name w:val="页眉 Char"/>
    <w:basedOn w:val="7"/>
    <w:link w:val="5"/>
    <w:qFormat/>
    <w:uiPriority w:val="0"/>
    <w:rPr>
      <w:rFonts w:ascii="SwissReSans" w:hAnsi="SwissReSans" w:cs="SwissReSans"/>
      <w:sz w:val="18"/>
      <w:szCs w:val="18"/>
    </w:rPr>
  </w:style>
  <w:style w:type="paragraph" w:customStyle="1" w:styleId="12">
    <w:name w:val="列出段落1"/>
    <w:basedOn w:val="1"/>
    <w:qFormat/>
    <w:uiPriority w:val="0"/>
    <w:rPr>
      <w:rFonts w:ascii="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1529</Words>
  <Characters>1581</Characters>
  <Paragraphs>66</Paragraphs>
  <TotalTime>48</TotalTime>
  <ScaleCrop>false</ScaleCrop>
  <LinksUpToDate>false</LinksUpToDate>
  <CharactersWithSpaces>1586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2021-07-30T14:34:00Z</dcterms:created>
  <dc:creator>sd</dc:creator>
  <cp:lastModifiedBy>辣辣辣</cp:lastModifiedBy>
  <cp:lastPrinted>2025-01-28T17:29:00Z</cp:lastPrinted>
  <dcterms:modified xsi:type="dcterms:W3CDTF">2025-04-11T09:56:58Z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696D66F36BF043B8948B36A7502B63F1_13</vt:lpwstr>
  </property>
  <property fmtid="{D5CDD505-2E9C-101B-9397-08002B2CF9AE}" pid="4" name="KSOTemplateDocerSaveRecord">
    <vt:lpwstr>eyJoZGlkIjoiNjkwMjU5ZTNiZWNjMDFjNzU4YzI5MjhlMzBhZTcxYzUiLCJ1c2VySWQiOiIzMTg5NjkyMzYifQ==</vt:lpwstr>
  </property>
</Properties>
</file>